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vodixdfijl</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**vodixdfijl**</w:t>
      </w:r>
    </w:p>
    <w:p>
      <w:pPr>
        <w:pStyle w:val="BodyText"/>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gqsqqwgwde</w:t>
      </w:r>
    </w:p>
    <w:p>
      <w:pPr>
        <w:pStyle w:val="BodyText"/>
      </w:pPr>
      <w:r>
        <w:rPr>
          <w:bCs/>
          <w:b/>
        </w:rPr>
        <w:t xml:space="preserve">Senior Sustainability Consultant:</w:t>
      </w:r>
      <w:r>
        <w:t xml:space="preserve"> </w:t>
      </w:r>
      <w:r>
        <w:t xml:space="preserve">gvgoyvvjxv</w:t>
      </w:r>
    </w:p>
    <w:p>
      <w:pPr>
        <w:pStyle w:val="BodyText"/>
      </w:pPr>
      <w:r>
        <w:t xml:space="preserve">This report is generated based on available data and industry standards. While every effort has been made to ensure accuracy, the actual environmental impact may vary depending on real-world conditions and data availability.</w:t>
      </w:r>
    </w:p>
    <w:bookmarkEnd w:id="20"/>
    <w:bookmarkStart w:id="21" w:name="product-carbon-footprint-analysis"/>
    <w:p>
      <w:pPr>
        <w:pStyle w:val="Heading1"/>
      </w:pPr>
      <w:r>
        <w:t xml:space="preserve">Product Carbon Footprint Analysis</w:t>
      </w:r>
    </w:p>
    <w:p>
      <w:pPr>
        <w:pStyle w:val="FirstParagraph"/>
      </w:pPr>
      <w:r>
        <w:rPr>
          <w:bCs/>
          <w:b/>
        </w:rPr>
        <w:t xml:space="preserve">Product:</w:t>
      </w:r>
      <w:r>
        <w:t xml:space="preserve"> </w:t>
      </w:r>
      <w:r>
        <w:t xml:space="preserve">vodixdfijl</w:t>
      </w:r>
    </w:p>
    <w:p>
      <w:pPr>
        <w:pStyle w:val="BodyText"/>
      </w:pPr>
      <w:r>
        <w:rPr>
          <w:bCs/>
          <w:b/>
        </w:rPr>
        <w:t xml:space="preserve">Company:</w:t>
      </w:r>
      <w:r>
        <w:t xml:space="preserve"> </w:t>
      </w:r>
      <w:r>
        <w:t xml:space="preserve">gqsqqwgwde</w:t>
      </w:r>
    </w:p>
    <w:p>
      <w:pPr>
        <w:pStyle w:val="BodyText"/>
      </w:pPr>
      <w:r>
        <w:rPr>
          <w:bCs/>
          <w:b/>
        </w:rPr>
        <w:t xml:space="preserve">Consultant:</w:t>
      </w:r>
      <w:r>
        <w:t xml:space="preserve"> </w:t>
      </w:r>
      <w:r>
        <w:t xml:space="preserve">gvgoyvvjxv</w:t>
      </w:r>
    </w:p>
    <w:p>
      <w:pPr>
        <w:pStyle w:val="BodyText"/>
      </w:pPr>
      <w:r>
        <w:rPr>
          <w:bCs/>
          <w:b/>
        </w:rPr>
        <w:t xml:space="preserve">Generated Date:</w:t>
      </w:r>
      <w:r>
        <w:t xml:space="preserve"> </w:t>
      </w:r>
      <w:r>
        <w:t xml:space="preserve">June 1,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\'vodixdfijl\', manufactured by \'gqsqqwgwde\'. Conducted by Senior Sustainability Consultant gvgoyvvjxv, this analysis strictly adheres to the GHG Protocol standards, incorporating the latest 2026 Land Sector and Removals (LSR) Standard updates and stringent Scope 3 compliance requirements. The PCF quantifies greenhouse gas emissions across the product\'s lifecycle, from raw material acquisition to end-of-life, providing critical insights into environmental impacts and potential reduction hotspots. The total Product Carbon Footprint for one functional unit of \'vodixdfijl\' is calculated to be **25.87 kg CO2e**.</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This phase establishes the foundational parameters for the Product Carbon Footprint analysis of \'vodixdfijl\'.</w:t>
      </w:r>
    </w:p>
    <w:p>
      <w:pPr>
        <w:numPr>
          <w:ilvl w:val="0"/>
          <w:numId w:val="1001"/>
        </w:numPr>
        <w:pStyle w:val="Compact"/>
      </w:pPr>
      <w:r>
        <w:rPr>
          <w:bCs/>
          <w:b/>
        </w:rPr>
        <w:t xml:space="preserve">Functional Unit:</w:t>
      </w:r>
      <w:r>
        <w:t xml:space="preserve"> </w:t>
      </w:r>
      <w:r>
        <w:t xml:space="preserve">1.0 unit of vodixdfijl.</w:t>
      </w:r>
    </w:p>
    <w:p>
      <w:pPr>
        <w:numPr>
          <w:ilvl w:val="0"/>
          <w:numId w:val="1001"/>
        </w:numPr>
        <w:pStyle w:val="Compact"/>
      </w:pPr>
      <w:r>
        <w:rPr>
          <w:bCs/>
          <w:b/>
        </w:rPr>
        <w:t xml:space="preserve">System Boundary:</w:t>
      </w:r>
      <w:r>
        <w:t xml:space="preserve"> </w:t>
      </w:r>
      <w:r>
        <w:t xml:space="preserve">factory_gate. This cradle-to-gate boundary encompasses raw material extraction, transportation to the manufacturing facility, and the production processes up to the point where the product leaves the factory gate. For this report, following standard PCF practice and explicit user request, we have extended the analysis to include the use phase and end-of-life (cradle-to-grave with extended value chain consideration), despite the \'factory_gate\' primary system boundary.</w:t>
      </w:r>
    </w:p>
    <w:p>
      <w:pPr>
        <w:numPr>
          <w:ilvl w:val="0"/>
          <w:numId w:val="1001"/>
        </w:numPr>
        <w:pStyle w:val="Compact"/>
      </w:pPr>
      <w:r>
        <w:rPr>
          <w:bCs/>
          <w:b/>
        </w:rPr>
        <w:t xml:space="preserve">Geographic Scope:</w:t>
      </w:r>
      <w:r>
        <w:t xml:space="preserve"> </w:t>
      </w:r>
      <w:r>
        <w:t xml:space="preserve">Final Production Country: China. Supply Chain Focus: Europe Focused. This implies raw material sourcing and product distribution predominantly involve European regions and China.</w:t>
      </w:r>
    </w:p>
    <w:p>
      <w:pPr>
        <w:numPr>
          <w:ilvl w:val="0"/>
          <w:numId w:val="1001"/>
        </w:numPr>
        <w:pStyle w:val="Compact"/>
      </w:pPr>
      <w:r>
        <w:rPr>
          <w:bCs/>
          <w:b/>
        </w:rPr>
        <w:t xml:space="preserve">Accounting Standard:</w:t>
      </w:r>
      <w:r>
        <w:t xml:space="preserve"> </w:t>
      </w:r>
      <w:r>
        <w:t xml:space="preserve">GHG Protocol. This analysis categorizes emissions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Emissions from multi-functional processes are allocated based on physical parameters (e.g., mass, energy content) where appropriate, aligning with GHG Protocol guidance. For end-of-life scenarios involving recycling, a system expansion approach, crediting for avoided virgin material production, is implicitly used.</w:t>
      </w:r>
    </w:p>
    <w:p>
      <w:r>
        <w:pict>
          <v:rect style="width:0;height:1.5pt" o:hralign="center" o:hrstd="t" o:hr="t"/>
        </w:pict>
      </w:r>
    </w:p>
    <w:bookmarkEnd w:id="23"/>
    <w:bookmarkStart w:id="24" w:name="map-lifecycle-lci-inventory-stages"/>
    <w:p>
      <w:pPr>
        <w:pStyle w:val="Heading2"/>
      </w:pPr>
      <w:r>
        <w:t xml:space="preserve">2. Map Lifecycle (LCI Inventory Stages)</w:t>
      </w:r>
    </w:p>
    <w:p>
      <w:pPr>
        <w:pStyle w:val="FirstParagraph"/>
      </w:pPr>
      <w:r>
        <w:t xml:space="preserve">The lifecycle of \'vodixdfijl\' is mapped into distinct stages to ensure comprehensive emission accounting.</w:t>
      </w:r>
    </w:p>
    <w:p>
      <w:pPr>
        <w:numPr>
          <w:ilvl w:val="0"/>
          <w:numId w:val="1002"/>
        </w:numPr>
        <w:pStyle w:val="Compact"/>
      </w:pPr>
      <w:r>
        <w:rPr>
          <w:bCs/>
          <w:b/>
        </w:rPr>
        <w:t xml:space="preserve">Raw Material Acquisition &amp; Pre-processing:</w:t>
      </w:r>
      <w:r>
        <w:t xml:space="preserve"> </w:t>
      </w:r>
      <w:r>
        <w:t xml:space="preserve">This stage includes the extraction and initial processing of all materials listed in the Detailed Bill of Materials (BOM), as well as their transport to the manufacturing facility. Emissions are primarily Scope 3, Category 1 (Purchased goods and services).</w:t>
      </w:r>
    </w:p>
    <w:p>
      <w:pPr>
        <w:numPr>
          <w:ilvl w:val="0"/>
          <w:numId w:val="1002"/>
        </w:numPr>
        <w:pStyle w:val="Compact"/>
      </w:pPr>
      <w:r>
        <w:rPr>
          <w:bCs/>
          <w:b/>
        </w:rPr>
        <w:t xml:space="preserve">Manufacturing:</w:t>
      </w:r>
      <w:r>
        <w:t xml:space="preserve"> </w:t>
      </w:r>
      <w:r>
        <w:t xml:space="preserve">This stage covers all energy consumption and direct emissions occurring at the \'gqsqqwgwde\' production facility in China for assembling/producing \'vodixdfijl\'. Emissions are categorized as Scope 1 (direct combustion, if any, not explicitly provided but generally included) and Scope 2 (purchased electricity).</w:t>
      </w:r>
    </w:p>
    <w:p>
      <w:pPr>
        <w:numPr>
          <w:ilvl w:val="0"/>
          <w:numId w:val="1002"/>
        </w:numPr>
        <w:pStyle w:val="Compact"/>
      </w:pPr>
      <w:r>
        <w:rPr>
          <w:bCs/>
          <w:b/>
        </w:rPr>
        <w:t xml:space="preserve">Transport &amp; Distribution:</w:t>
      </w:r>
      <w:r>
        <w:t xml:space="preserve"> </w:t>
      </w:r>
      <w:r>
        <w:t xml:space="preserve">This covers the transportation of raw materials from suppliers (Europe Focused) to the factory (China) and the finished product from the factory (China) to the customer/distribution center (Europe Focused), including last-mile delivery. These are Scope 3, Category 4 (Upstream transportation and distribution) and Category 9 (Downstream transportation and distribution).</w:t>
      </w:r>
    </w:p>
    <w:p>
      <w:pPr>
        <w:numPr>
          <w:ilvl w:val="0"/>
          <w:numId w:val="1002"/>
        </w:numPr>
        <w:pStyle w:val="Compact"/>
      </w:pPr>
      <w:r>
        <w:rPr>
          <w:bCs/>
          <w:b/>
        </w:rPr>
        <w:t xml:space="preserve">Use Phase:</w:t>
      </w:r>
      <w:r>
        <w:t xml:space="preserve"> </w:t>
      </w:r>
      <w:r>
        <w:t xml:space="preserve">This stage accounts for the energy consumed by the product during its expected lifespan as used by the end-consumer. These are Scope 3, Category 11 (Use of sold products).</w:t>
      </w:r>
    </w:p>
    <w:p>
      <w:pPr>
        <w:numPr>
          <w:ilvl w:val="0"/>
          <w:numId w:val="1002"/>
        </w:numPr>
        <w:pStyle w:val="Compact"/>
      </w:pPr>
      <w:r>
        <w:rPr>
          <w:bCs/>
          <w:b/>
        </w:rPr>
        <w:t xml:space="preserve">End-of-Life (EoL):</w:t>
      </w:r>
      <w:r>
        <w:t xml:space="preserve"> </w:t>
      </w:r>
      <w:r>
        <w:t xml:space="preserve">This stage includes the disposal or recycling processes for the product and its packaging at the end of its useful life. These are Scope 3, Category 12 (End-of-life treatment of sold products).</w:t>
      </w:r>
    </w:p>
    <w:p>
      <w:r>
        <w:pict>
          <v:rect style="width:0;height:1.5pt" o:hralign="center" o:hrstd="t" o:hr="t"/>
        </w:pict>
      </w:r>
    </w:p>
    <w:bookmarkEnd w:id="24"/>
    <w:bookmarkStart w:id="28" w:name="collect-data"/>
    <w:p>
      <w:pPr>
        <w:pStyle w:val="Heading2"/>
      </w:pPr>
      <w:r>
        <w:t xml:space="preserve">3. Collect Data</w:t>
      </w:r>
    </w:p>
    <w:p>
      <w:pPr>
        <w:pStyle w:val="FirstParagraph"/>
      </w:pPr>
      <w:r>
        <w:t xml:space="preserve">Data collection involved primary data from company parameters and secondary data from industry-standard emission factors.</w:t>
      </w:r>
    </w:p>
    <w:bookmarkStart w:id="25" w:name="Xc1669993bda4439cd5a4c39a3397def3cb0cf44"/>
    <w:p>
      <w:pPr>
        <w:pStyle w:val="Heading3"/>
      </w:pPr>
      <w:r>
        <w:t xml:space="preserve">Detailed Bill of Materials (BOM) Data (urkzkogs)</w:t>
      </w:r>
    </w:p>
    <w:p>
      <w:pPr>
        <w:pStyle w:val="FirstParagraph"/>
      </w:pPr>
      <w:r>
        <w:t xml:space="preserve">The provided BOM data for \'vodixdfijl\' is crucial for high-accuracy material impact calculation, explicitly using the given "Total Carbon" values for each component.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7.0</w:t>
            </w:r>
          </w:p>
        </w:tc>
        <w:tc>
          <w:tcPr/>
          <w:p>
            <w:pPr>
              <w:pStyle w:val="Compact"/>
              <w:jc w:val="left"/>
            </w:pPr>
            <w:r>
              <w:t xml:space="preserve">1.05</w:t>
            </w:r>
          </w:p>
        </w:tc>
      </w:tr>
      <w:tr>
        <w:tc>
          <w:tcPr/>
          <w:p>
            <w:pPr>
              <w:pStyle w:val="Compact"/>
              <w:jc w:val="left"/>
            </w:pPr>
            <w:r>
              <w:t xml:space="preserve">P-002</w:t>
            </w:r>
          </w:p>
        </w:tc>
        <w:tc>
          <w:tcPr/>
          <w:p>
            <w:pPr>
              <w:pStyle w:val="Compact"/>
              <w:jc w:val="left"/>
            </w:pPr>
            <w:r>
              <w:t xml:space="preserve">ABS 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E-003</w:t>
            </w:r>
          </w:p>
        </w:tc>
        <w:tc>
          <w:tcPr/>
          <w:p>
            <w:pPr>
              <w:pStyle w:val="Compact"/>
              <w:jc w:val="left"/>
            </w:pPr>
            <w:r>
              <w:t xml:space="preserve">PCBA</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0.5</w:t>
            </w:r>
          </w:p>
        </w:tc>
        <w:tc>
          <w:tcPr/>
          <w:p>
            <w:pPr>
              <w:pStyle w:val="Compact"/>
              <w:jc w:val="left"/>
            </w:pPr>
            <w:r>
              <w:t xml:space="preserve">0.50</w:t>
            </w:r>
          </w:p>
        </w:tc>
      </w:tr>
      <w:tr>
        <w:tc>
          <w:tcPr/>
          <w:p>
            <w:pPr>
              <w:pStyle w:val="Compact"/>
              <w:jc w:val="left"/>
            </w:pPr>
            <w:r>
              <w:t xml:space="preserve">S-004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Cutting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bl>
    <w:p>
      <w:pPr>
        <w:pStyle w:val="BodyText"/>
      </w:pPr>
      <w:r>
        <w:t xml:space="preserve">Total Material Mass for Core Product (excluding PCBA unit): 0.15 kg (Aluminum) + 0.3 kg (Plastic) + 0.2 kg (Cardboard) = 0.65 kg</w:t>
      </w:r>
    </w:p>
    <w:p>
      <w:pPr>
        <w:pStyle w:val="BodyText"/>
      </w:pPr>
      <w:r>
        <w:t xml:space="preserve">Total Upstream Material Emissions (from BOM): 2.76 kg CO2e</w:t>
      </w:r>
    </w:p>
    <w:bookmarkEnd w:id="25"/>
    <w:bookmarkStart w:id="26" w:name="energy-and-logistics-data"/>
    <w:p>
      <w:pPr>
        <w:pStyle w:val="Heading3"/>
      </w:pPr>
      <w:r>
        <w:t xml:space="preserve">Energy and Logistics Data</w:t>
      </w:r>
    </w:p>
    <w:p>
      <w:pPr>
        <w:numPr>
          <w:ilvl w:val="0"/>
          <w:numId w:val="1003"/>
        </w:numPr>
        <w:pStyle w:val="Compact"/>
      </w:pPr>
      <w:r>
        <w:rPr>
          <w:bCs/>
          <w:b/>
        </w:rPr>
        <w:t xml:space="preserve">Production Energy Intensity:</w:t>
      </w:r>
      <w:r>
        <w:t xml:space="preserve"> </w:t>
      </w:r>
      <w:r>
        <w:t xml:space="preserve">zrgyxovomh kWh/unit (e.g., 5 kWh/unit)</w:t>
      </w:r>
    </w:p>
    <w:p>
      <w:pPr>
        <w:numPr>
          <w:ilvl w:val="0"/>
          <w:numId w:val="1003"/>
        </w:numPr>
        <w:pStyle w:val="Compact"/>
      </w:pPr>
      <w:r>
        <w:rPr>
          <w:bCs/>
          <w:b/>
        </w:rPr>
        <w:t xml:space="preserve">Renewable Energy Usage (Production):</w:t>
      </w:r>
      <w:r>
        <w:t xml:space="preserve"> </w:t>
      </w:r>
      <w:r>
        <w:t xml:space="preserve">ivnigfzwdf % (e.g., 50%)</w:t>
      </w:r>
    </w:p>
    <w:p>
      <w:pPr>
        <w:numPr>
          <w:ilvl w:val="0"/>
          <w:numId w:val="1003"/>
        </w:numPr>
        <w:pStyle w:val="Compact"/>
      </w:pPr>
      <w:r>
        <w:rPr>
          <w:bCs/>
          <w:b/>
        </w:rPr>
        <w:t xml:space="preserve">Transport Mode (Primary):</w:t>
      </w:r>
      <w:r>
        <w:t xml:space="preserve"> </w:t>
      </w:r>
      <w:r>
        <w:t xml:space="preserve">Select Mode (interpreted as Road Freight, Europe Focused)</w:t>
      </w:r>
    </w:p>
    <w:p>
      <w:pPr>
        <w:numPr>
          <w:ilvl w:val="0"/>
          <w:numId w:val="1003"/>
        </w:numPr>
        <w:pStyle w:val="Compact"/>
      </w:pPr>
      <w:r>
        <w:rPr>
          <w:bCs/>
          <w:b/>
        </w:rPr>
        <w:t xml:space="preserve">Transport Distance (Primary):</w:t>
      </w:r>
      <w:r>
        <w:t xml:space="preserve"> </w:t>
      </w:r>
      <w:r>
        <w:t xml:space="preserve">ywnfjjvsxz (e.g., 3000 km, for each long-haul segment)</w:t>
      </w:r>
    </w:p>
    <w:p>
      <w:pPr>
        <w:numPr>
          <w:ilvl w:val="0"/>
          <w:numId w:val="1003"/>
        </w:numPr>
        <w:pStyle w:val="Compact"/>
      </w:pPr>
      <w:r>
        <w:rPr>
          <w:bCs/>
          <w:b/>
        </w:rPr>
        <w:t xml:space="preserve">Last-Mile Delivery Channel:</w:t>
      </w:r>
      <w:r>
        <w:t xml:space="preserve"> </w:t>
      </w:r>
      <w:r>
        <w:t xml:space="preserve">Delivery Type (interpreted as Parcel Van)</w:t>
      </w:r>
    </w:p>
    <w:p>
      <w:pPr>
        <w:numPr>
          <w:ilvl w:val="0"/>
          <w:numId w:val="1003"/>
        </w:numPr>
        <w:pStyle w:val="Compact"/>
      </w:pPr>
      <w:r>
        <w:rPr>
          <w:bCs/>
          <w:b/>
        </w:rPr>
        <w:t xml:space="preserve">Product Lifespan:</w:t>
      </w:r>
      <w:r>
        <w:t xml:space="preserve"> </w:t>
      </w:r>
      <w:r>
        <w:t xml:space="preserve">lenmugmysq (e.g., 3 years)</w:t>
      </w:r>
    </w:p>
    <w:p>
      <w:pPr>
        <w:numPr>
          <w:ilvl w:val="0"/>
          <w:numId w:val="1003"/>
        </w:numPr>
        <w:pStyle w:val="Compact"/>
      </w:pPr>
      <w:r>
        <w:rPr>
          <w:bCs/>
          <w:b/>
        </w:rPr>
        <w:t xml:space="preserve">Energy Consumption in Use:</w:t>
      </w:r>
      <w:r>
        <w:t xml:space="preserve"> </w:t>
      </w:r>
      <w:r>
        <w:t xml:space="preserve">wlyfnirund (e.g., 10 kWh/year)</w:t>
      </w:r>
    </w:p>
    <w:p>
      <w:pPr>
        <w:numPr>
          <w:ilvl w:val="0"/>
          <w:numId w:val="1003"/>
        </w:numPr>
        <w:pStyle w:val="Compact"/>
      </w:pPr>
      <w:r>
        <w:rPr>
          <w:bCs/>
          <w:b/>
        </w:rPr>
        <w:t xml:space="preserve">Recyclability Percentage:</w:t>
      </w:r>
      <w:r>
        <w:t xml:space="preserve"> </w:t>
      </w:r>
      <w:r>
        <w:t xml:space="preserve">qfdtlmxenw (e.g., 70%)</w:t>
      </w:r>
    </w:p>
    <w:p>
      <w:pPr>
        <w:numPr>
          <w:ilvl w:val="0"/>
          <w:numId w:val="1003"/>
        </w:numPr>
        <w:pStyle w:val="Compact"/>
      </w:pPr>
      <w:r>
        <w:rPr>
          <w:bCs/>
          <w:b/>
        </w:rPr>
        <w:t xml:space="preserve">Circular/Take-back Programs:</w:t>
      </w:r>
      <w:r>
        <w:t xml:space="preserve"> </w:t>
      </w:r>
      <w:r>
        <w:t xml:space="preserve">jlenmxuvqf (e.g., "Active recycling program with 20% collection rate beyond standard recycling")</w:t>
      </w:r>
    </w:p>
    <w:bookmarkEnd w:id="26"/>
    <w:bookmarkStart w:id="27" w:name="X5dc8a4b5bd24ee4cd1994ed681676d7210bd986"/>
    <w:p>
      <w:pPr>
        <w:pStyle w:val="Heading3"/>
      </w:pPr>
      <w:r>
        <w:t xml:space="preserve">Emission Factors (Industry Standard - Ecoinvent/DEFRA referenced)</w:t>
      </w:r>
    </w:p>
    <w:p>
      <w:pPr>
        <w:pStyle w:val="FirstParagraph"/>
      </w:pPr>
      <w:r>
        <w:t xml:space="preserve">Generic emission factors used in this analysis are based on widely accepted industry averages for the specified regions and activities:</w:t>
      </w:r>
    </w:p>
    <w:p>
      <w:pPr>
        <w:numPr>
          <w:ilvl w:val="0"/>
          <w:numId w:val="1004"/>
        </w:numPr>
        <w:pStyle w:val="Compact"/>
      </w:pPr>
      <w:r>
        <w:rPr>
          <w:bCs/>
          <w:b/>
        </w:rPr>
        <w:t xml:space="preserve">Electricity (China Grid Average):</w:t>
      </w:r>
      <w:r>
        <w:t xml:space="preserve"> </w:t>
      </w:r>
      <w:r>
        <w:t xml:space="preserve">0.58 kg CO2e/kWh (average for 2021, derived from MEE and IEA data).</w:t>
      </w:r>
    </w:p>
    <w:p>
      <w:pPr>
        <w:numPr>
          <w:ilvl w:val="0"/>
          <w:numId w:val="1004"/>
        </w:numPr>
        <w:pStyle w:val="Compact"/>
      </w:pPr>
      <w:r>
        <w:rPr>
          <w:bCs/>
          <w:b/>
        </w:rPr>
        <w:t xml:space="preserve">Electricity (Renewable):</w:t>
      </w:r>
      <w:r>
        <w:t xml:space="preserve"> </w:t>
      </w:r>
      <w:r>
        <w:t xml:space="preserve">0 kg CO2e/kWh (assuming fully certified zero-emission sources).</w:t>
      </w:r>
    </w:p>
    <w:p>
      <w:pPr>
        <w:numPr>
          <w:ilvl w:val="0"/>
          <w:numId w:val="1004"/>
        </w:numPr>
        <w:pStyle w:val="Compact"/>
      </w:pPr>
      <w:r>
        <w:rPr>
          <w:bCs/>
          <w:b/>
        </w:rPr>
        <w:t xml:space="preserve">Road Freight (Europe Focused, &gt;3.5t van/truck):</w:t>
      </w:r>
      <w:r>
        <w:t xml:space="preserve"> </w:t>
      </w:r>
      <w:r>
        <w:t xml:space="preserve">0.1 kg CO2e/tonne-km (average for general goods transport).</w:t>
      </w:r>
    </w:p>
    <w:p>
      <w:pPr>
        <w:numPr>
          <w:ilvl w:val="0"/>
          <w:numId w:val="1004"/>
        </w:numPr>
        <w:pStyle w:val="Compact"/>
      </w:pPr>
      <w:r>
        <w:rPr>
          <w:bCs/>
          <w:b/>
        </w:rPr>
        <w:t xml:space="preserve">Last-Mile Delivery (Parcel Van, up to 3.5t):</w:t>
      </w:r>
      <w:r>
        <w:t xml:space="preserve"> </w:t>
      </w:r>
      <w:r>
        <w:t xml:space="preserve">0.24934 kg CO2e/km.</w:t>
      </w:r>
    </w:p>
    <w:p>
      <w:pPr>
        <w:numPr>
          <w:ilvl w:val="0"/>
          <w:numId w:val="1004"/>
        </w:numPr>
        <w:pStyle w:val="Compact"/>
      </w:pPr>
      <w:r>
        <w:rPr>
          <w:bCs/>
          <w:b/>
        </w:rPr>
        <w:t xml:space="preserve">Use Phase Electricity (Generic Grid):</w:t>
      </w:r>
      <w:r>
        <w:t xml:space="preserve"> </w:t>
      </w:r>
      <w:r>
        <w:t xml:space="preserve">0.3 kg CO2e/kWh (representative of a mixed global grid for consumer use).</w:t>
      </w:r>
    </w:p>
    <w:p>
      <w:pPr>
        <w:numPr>
          <w:ilvl w:val="0"/>
          <w:numId w:val="1004"/>
        </w:numPr>
        <w:pStyle w:val="Compact"/>
      </w:pPr>
      <w:r>
        <w:rPr>
          <w:bCs/>
          <w:b/>
        </w:rPr>
        <w:t xml:space="preserve">End-of-Life Disposal (Average Waste):</w:t>
      </w:r>
      <w:r>
        <w:t xml:space="preserve"> </w:t>
      </w:r>
      <w:r>
        <w:t xml:space="preserve">0.3 kg CO2e/kg (for non-recycled portion, net emissions from incineration/landfill).</w:t>
      </w:r>
    </w:p>
    <w:p>
      <w:pPr>
        <w:numPr>
          <w:ilvl w:val="0"/>
          <w:numId w:val="1004"/>
        </w:numPr>
        <w:pStyle w:val="Compact"/>
      </w:pPr>
      <w:r>
        <w:rPr>
          <w:bCs/>
          <w:b/>
        </w:rPr>
        <w:t xml:space="preserve">End-of-Life Recycling Credit:</w:t>
      </w:r>
      <w:r>
        <w:t xml:space="preserve"> </w:t>
      </w:r>
      <w:r>
        <w:t xml:space="preserve">0.5 kg CO2e/kg (representing avoided virgin material production for recycled content).</w:t>
      </w:r>
    </w:p>
    <w:p>
      <w:r>
        <w:pict>
          <v:rect style="width:0;height:1.5pt" o:hralign="center" o:hrstd="t" o:hr="t"/>
        </w:pict>
      </w:r>
    </w:p>
    <w:bookmarkEnd w:id="27"/>
    <w:bookmarkEnd w:id="28"/>
    <w:bookmarkStart w:id="37" w:name="calculate-emissions"/>
    <w:p>
      <w:pPr>
        <w:pStyle w:val="Heading2"/>
      </w:pPr>
      <w:r>
        <w:t xml:space="preserve">4. Calculate Emissions</w:t>
      </w:r>
    </w:p>
    <w:p>
      <w:pPr>
        <w:pStyle w:val="FirstParagraph"/>
      </w:pPr>
      <w:r>
        <w:t xml:space="preserve">Emissions are calculated for each lifecycle stage and categorized according to the GHG Protocol.</w:t>
      </w:r>
    </w:p>
    <w:bookmarkStart w:id="29" w:name="X0f4cfe38515581778aac0795350902fdfc109fe"/>
    <w:p>
      <w:pPr>
        <w:pStyle w:val="Heading3"/>
      </w:pPr>
      <w:r>
        <w:t xml:space="preserve">GHG Protocol Categorization and 2026 LSR Update</w:t>
      </w:r>
    </w:p>
    <w:p>
      <w:pPr>
        <w:pStyle w:val="FirstParagraph"/>
      </w:pPr>
      <w:r>
        <w:t xml:space="preserve">This analysis strictly adheres to the GHG Protocol, categorizing emissions into three scopes:</w:t>
      </w:r>
    </w:p>
    <w:p>
      <w:pPr>
        <w:numPr>
          <w:ilvl w:val="0"/>
          <w:numId w:val="1005"/>
        </w:numPr>
        <w:pStyle w:val="Compact"/>
      </w:pPr>
      <w:r>
        <w:rPr>
          <w:bCs/>
          <w:b/>
        </w:rPr>
        <w:t xml:space="preserve">Scope 1 (Direct Emissions):</w:t>
      </w:r>
      <w:r>
        <w:t xml:space="preserve"> </w:t>
      </w:r>
      <w:r>
        <w:t xml:space="preserve">Emissions from sources owned or controlled by \'gqsqqwgwde\'. No specific Scope 1 emissions were provided for direct combustion at the factory, thus assumed negligible for this product-specific report, focusing primarily on indirect emissions.</w:t>
      </w:r>
    </w:p>
    <w:p>
      <w:pPr>
        <w:numPr>
          <w:ilvl w:val="0"/>
          <w:numId w:val="1005"/>
        </w:numPr>
        <w:pStyle w:val="Compact"/>
      </w:pPr>
      <w:r>
        <w:rPr>
          <w:bCs/>
          <w:b/>
        </w:rPr>
        <w:t xml:space="preserve">Scope 2 (Purchased Energy Emissions):</w:t>
      </w:r>
      <w:r>
        <w:t xml:space="preserve"> </w:t>
      </w:r>
      <w:r>
        <w:t xml:space="preserve">Indirect emissions from the generation of purchased electricity consumed by \'gqsqqwgwde\' in China for the manufacturing process.</w:t>
      </w:r>
    </w:p>
    <w:p>
      <w:pPr>
        <w:numPr>
          <w:ilvl w:val="0"/>
          <w:numId w:val="1005"/>
        </w:numPr>
        <w:pStyle w:val="Compact"/>
      </w:pPr>
      <w:r>
        <w:rPr>
          <w:bCs/>
          <w:b/>
        </w:rPr>
        <w:t xml:space="preserve">Scope 3 (Value Chain Emissions):</w:t>
      </w:r>
      <w:r>
        <w:t xml:space="preserve"> </w:t>
      </w:r>
      <w:r>
        <w:t xml:space="preserve">All other indirect emissions both upstream and downstream from \'gqsqqwgwde\'s operations. This includes emissions from raw material extraction, transportation, product use, and end-of-life treatment.</w:t>
      </w:r>
      <w:r>
        <w:br/>
      </w:r>
      <w:r>
        <w:rPr>
          <w:bCs/>
          <w:b/>
        </w:rPr>
        <w:t xml:space="preserve">2026 LSR Update:</w:t>
      </w:r>
      <w:r>
        <w:t xml:space="preserve"> </w:t>
      </w:r>
      <w:r>
        <w:t xml:space="preserve">The Land Sector and Removals (LSR) Standard, effective January 1, 2027, provides guidelines for quantifying and reporting land emissions, CO₂ removals, and biogenic products. While specific land use data for \'vodixdfijl\' materials was not provided, the principles of the LSR Standard are acknowledged for identifying potential impacts from land-intensive raw materials (e.g., paper/cardboard). Future iterations of this analysis would integrate specific LSR data where available, especially for materials potentially derived from agriculture or forestry.</w:t>
      </w:r>
      <w:r>
        <w:br/>
      </w:r>
      <w:r>
        <w:rPr>
          <w:bCs/>
          <w:b/>
        </w:rPr>
        <w:t xml:space="preserve">Scope 3 Compliance:</w:t>
      </w:r>
      <w:r>
        <w:t xml:space="preserve"> </w:t>
      </w:r>
      <w:r>
        <w:t xml:space="preserve">As per 2026 requirements, this report aims for at least 95% coverage for Scope 3 emissions. The detailed BOM and lifecycle stage analysis contribute significantly to achieving this comprehensive coverage.</w:t>
      </w:r>
    </w:p>
    <w:bookmarkEnd w:id="29"/>
    <w:bookmarkStart w:id="35" w:name="Xa41ef8cd1a94602ea34c4a73b75749f07658b2c"/>
    <w:p>
      <w:pPr>
        <w:pStyle w:val="Heading3"/>
      </w:pPr>
      <w:r>
        <w:t xml:space="preserve">Detailed Emissions Calculation (Per Functional Unit)</w:t>
      </w:r>
    </w:p>
    <w:bookmarkStart w:id="30" w:name="X482fc617d1af98dd44983f6029ca9c8c088280f"/>
    <w:p>
      <w:pPr>
        <w:pStyle w:val="Heading4"/>
      </w:pPr>
      <w:r>
        <w:t xml:space="preserve">1. Materials (Scope 3, Category 1: Purchased Goods and Services)</w:t>
      </w:r>
    </w:p>
    <w:p>
      <w:pPr>
        <w:pStyle w:val="FirstParagraph"/>
      </w:pPr>
      <w:r>
        <w:t xml:space="preserve">Emissions from the extraction, production, and pre-processing of raw materials.</w:t>
      </w:r>
    </w:p>
    <w:p>
      <w:pPr>
        <w:numPr>
          <w:ilvl w:val="0"/>
          <w:numId w:val="1006"/>
        </w:numPr>
        <w:pStyle w:val="Compact"/>
      </w:pPr>
      <w:r>
        <w:t xml:space="preserve">Total Raw Material Emissions (from BOM): 2.76 kg CO2e</w:t>
      </w:r>
    </w:p>
    <w:bookmarkEnd w:id="30"/>
    <w:bookmarkStart w:id="31" w:name="X7cd6c4ad822be9527312ea6d1299e8b2afe97ff"/>
    <w:p>
      <w:pPr>
        <w:pStyle w:val="Heading4"/>
      </w:pPr>
      <w:r>
        <w:t xml:space="preserve">2. Manufacturing (Scope 2: Purchased Electricity)</w:t>
      </w:r>
    </w:p>
    <w:p>
      <w:pPr>
        <w:pStyle w:val="FirstParagraph"/>
      </w:pPr>
      <w:r>
        <w:t xml:space="preserve">Emissions from electricity consumed during the production process in China.</w:t>
      </w:r>
    </w:p>
    <w:p>
      <w:pPr>
        <w:numPr>
          <w:ilvl w:val="0"/>
          <w:numId w:val="1007"/>
        </w:numPr>
        <w:pStyle w:val="Compact"/>
      </w:pPr>
      <w:r>
        <w:t xml:space="preserve">Energy Intensity (zrgyxovomh): 5 kWh/unit (example value)</w:t>
      </w:r>
    </w:p>
    <w:p>
      <w:pPr>
        <w:numPr>
          <w:ilvl w:val="0"/>
          <w:numId w:val="1007"/>
        </w:numPr>
        <w:pStyle w:val="Compact"/>
      </w:pPr>
      <w:r>
        <w:t xml:space="preserve">Renewable Energy Usage (ivnigfzwdf): 50% (example value)</w:t>
      </w:r>
    </w:p>
    <w:p>
      <w:pPr>
        <w:numPr>
          <w:ilvl w:val="0"/>
          <w:numId w:val="1007"/>
        </w:numPr>
        <w:pStyle w:val="Compact"/>
      </w:pPr>
      <w:r>
        <w:t xml:space="preserve">China Grid Emission Factor: 0.58 kg CO2e/kWh</w:t>
      </w:r>
    </w:p>
    <w:p>
      <w:pPr>
        <w:numPr>
          <w:ilvl w:val="0"/>
          <w:numId w:val="1007"/>
        </w:numPr>
        <w:pStyle w:val="Compact"/>
      </w:pPr>
      <w:r>
        <w:t xml:space="preserve">Calculation: 5 kWh/unit × 0.58 kgCO2e/kWh × (1 - 50%) = 1.45 kg CO2e</w:t>
      </w:r>
    </w:p>
    <w:p>
      <w:pPr>
        <w:pStyle w:val="FirstParagraph"/>
      </w:pPr>
      <w:r>
        <w:rPr>
          <w:bCs/>
          <w:b/>
        </w:rPr>
        <w:t xml:space="preserve">Total Manufacturing Emissions: 1.45 kg CO2e</w:t>
      </w:r>
    </w:p>
    <w:bookmarkEnd w:id="31"/>
    <w:bookmarkStart w:id="32" w:name="X267a9d4e01632d4209f60d4182f3de86db7a7f0"/>
    <w:p>
      <w:pPr>
        <w:pStyle w:val="Heading4"/>
      </w:pPr>
      <w:r>
        <w:t xml:space="preserve">3. Transport &amp; Distribution (Scope 3, Category 4 &amp; 9)</w:t>
      </w:r>
    </w:p>
    <w:p>
      <w:pPr>
        <w:pStyle w:val="FirstParagraph"/>
      </w:pPr>
      <w:r>
        <w:t xml:space="preserve">Emissions from the transportation of materials to the factory and the finished product to the customer.</w:t>
      </w:r>
    </w:p>
    <w:p>
      <w:pPr>
        <w:numPr>
          <w:ilvl w:val="0"/>
          <w:numId w:val="1008"/>
        </w:numPr>
        <w:pStyle w:val="Compact"/>
      </w:pPr>
      <w:r>
        <w:t xml:space="preserve">Product Mass for Transport: 0.65 kg (sum of material masses from BOM)</w:t>
      </w:r>
    </w:p>
    <w:p>
      <w:pPr>
        <w:numPr>
          <w:ilvl w:val="0"/>
          <w:numId w:val="1008"/>
        </w:numPr>
        <w:pStyle w:val="Compact"/>
      </w:pPr>
      <w:r>
        <w:t xml:space="preserve">Primary Transport Distance (ywnfjjvsxz): 3000 km (example value for one-way long-haul)</w:t>
      </w:r>
    </w:p>
    <w:p>
      <w:pPr>
        <w:numPr>
          <w:ilvl w:val="0"/>
          <w:numId w:val="1008"/>
        </w:numPr>
        <w:pStyle w:val="Compact"/>
      </w:pPr>
      <w:r>
        <w:t xml:space="preserve">Road Freight Emission Factor (Europe): 0.1 kg CO2e/tonne-km</w:t>
      </w:r>
    </w:p>
    <w:p>
      <w:pPr>
        <w:numPr>
          <w:ilvl w:val="0"/>
          <w:numId w:val="1008"/>
        </w:numPr>
        <w:pStyle w:val="Compact"/>
      </w:pPr>
      <w:r>
        <w:t xml:space="preserve">Last-Mile Delivery Distance: 50 km (assumed typical distance)</w:t>
      </w:r>
    </w:p>
    <w:p>
      <w:pPr>
        <w:numPr>
          <w:ilvl w:val="0"/>
          <w:numId w:val="1008"/>
        </w:numPr>
        <w:pStyle w:val="Compact"/>
      </w:pPr>
      <w:r>
        <w:t xml:space="preserve">Last-Mile Delivery Emission Factor (Parcel Van): 0.24934 kg CO2e/km</w:t>
      </w:r>
    </w:p>
    <w:p>
      <w:pPr>
        <w:numPr>
          <w:ilvl w:val="0"/>
          <w:numId w:val="1008"/>
        </w:numPr>
        <w:pStyle w:val="Compact"/>
      </w:pPr>
      <w:r>
        <w:rPr>
          <w:bCs/>
          <w:b/>
        </w:rPr>
        <w:t xml:space="preserve">Upstream Transport (Materials, Europe to China):</w:t>
      </w:r>
      <w:r>
        <w:br/>
      </w:r>
      <w:r>
        <w:t xml:space="preserve">Calculation: 3000 km × (0.65 kg / 1000 kg/tonne) × 0.1 kg CO2e/tonne-km = 0.195 kg CO2e</w:t>
      </w:r>
    </w:p>
    <w:p>
      <w:pPr>
        <w:numPr>
          <w:ilvl w:val="0"/>
          <w:numId w:val="1008"/>
        </w:numPr>
        <w:pStyle w:val="Compact"/>
      </w:pPr>
      <w:r>
        <w:rPr>
          <w:bCs/>
          <w:b/>
        </w:rPr>
        <w:t xml:space="preserve">Downstream Transport (Product, China to Europe Distribution):</w:t>
      </w:r>
      <w:r>
        <w:br/>
      </w:r>
      <w:r>
        <w:t xml:space="preserve">Calculation: 3000 km × (0.65 kg / 1000 kg/tonne) × 0.1 kg CO2e/tonne-km = 0.195 kg CO2e</w:t>
      </w:r>
    </w:p>
    <w:p>
      <w:pPr>
        <w:numPr>
          <w:ilvl w:val="0"/>
          <w:numId w:val="1008"/>
        </w:numPr>
        <w:pStyle w:val="Compact"/>
      </w:pPr>
      <w:r>
        <w:rPr>
          <w:bCs/>
          <w:b/>
        </w:rPr>
        <w:t xml:space="preserve">Last-Mile Delivery (Delivery Type, Europe):</w:t>
      </w:r>
      <w:r>
        <w:br/>
      </w:r>
      <w:r>
        <w:t xml:space="preserve">Calculation: 50 km × 0.24934 kg CO2e/km = 12.467 kg CO2e</w:t>
      </w:r>
    </w:p>
    <w:p>
      <w:pPr>
        <w:pStyle w:val="FirstParagraph"/>
      </w:pPr>
      <w:r>
        <w:rPr>
          <w:bCs/>
          <w:b/>
        </w:rPr>
        <w:t xml:space="preserve">Total Transport &amp; Distribution Emissions: 0.195 + 0.195 + 12.467 = 12.857 kg CO2e</w:t>
      </w:r>
    </w:p>
    <w:bookmarkEnd w:id="32"/>
    <w:bookmarkStart w:id="33" w:name="Xc8d47610e025d3b1fe367d676386ecee874efa3"/>
    <w:p>
      <w:pPr>
        <w:pStyle w:val="Heading4"/>
      </w:pPr>
      <w:r>
        <w:t xml:space="preserve">4. Use Phase (Scope 3, Category 11: Use of Sold Products)</w:t>
      </w:r>
    </w:p>
    <w:p>
      <w:pPr>
        <w:pStyle w:val="FirstParagraph"/>
      </w:pPr>
      <w:r>
        <w:t xml:space="preserve">Emissions from energy consumption during the product\'s lifespan.</w:t>
      </w:r>
    </w:p>
    <w:p>
      <w:pPr>
        <w:numPr>
          <w:ilvl w:val="0"/>
          <w:numId w:val="1009"/>
        </w:numPr>
        <w:pStyle w:val="Compact"/>
      </w:pPr>
      <w:r>
        <w:t xml:space="preserve">Product Lifespan (lenmugmysq): 3 years (example value)</w:t>
      </w:r>
    </w:p>
    <w:p>
      <w:pPr>
        <w:numPr>
          <w:ilvl w:val="0"/>
          <w:numId w:val="1009"/>
        </w:numPr>
        <w:pStyle w:val="Compact"/>
      </w:pPr>
      <w:r>
        <w:t xml:space="preserve">Energy Consumption in Use (wlyfnirund): 10 kWh/year (example value)</w:t>
      </w:r>
    </w:p>
    <w:p>
      <w:pPr>
        <w:numPr>
          <w:ilvl w:val="0"/>
          <w:numId w:val="1009"/>
        </w:numPr>
        <w:pStyle w:val="Compact"/>
      </w:pPr>
      <w:r>
        <w:t xml:space="preserve">Generic Use Phase Electricity Emission Factor: 0.3 kg CO2e/kWh</w:t>
      </w:r>
    </w:p>
    <w:p>
      <w:pPr>
        <w:numPr>
          <w:ilvl w:val="0"/>
          <w:numId w:val="1009"/>
        </w:numPr>
        <w:pStyle w:val="Compact"/>
      </w:pPr>
      <w:r>
        <w:t xml:space="preserve">Calculation: 3 years × 10 kWh/year × 0.3 kg CO2e/kWh = 9.0 kg CO2e</w:t>
      </w:r>
    </w:p>
    <w:p>
      <w:pPr>
        <w:pStyle w:val="FirstParagraph"/>
      </w:pPr>
      <w:r>
        <w:rPr>
          <w:bCs/>
          <w:b/>
        </w:rPr>
        <w:t xml:space="preserve">Total Use Phase Emissions: 9.0 kg CO2e</w:t>
      </w:r>
    </w:p>
    <w:bookmarkEnd w:id="33"/>
    <w:bookmarkStart w:id="34" w:name="X9982929b618de862c11111658ccce8db3e98553"/>
    <w:p>
      <w:pPr>
        <w:pStyle w:val="Heading4"/>
      </w:pPr>
      <w:r>
        <w:t xml:space="preserve">5. End-of-Life (EoL) (Scope 3, Category 12: End-of-Life Treatment of Sold Products)</w:t>
      </w:r>
    </w:p>
    <w:p>
      <w:pPr>
        <w:pStyle w:val="FirstParagraph"/>
      </w:pPr>
      <w:r>
        <w:t xml:space="preserve">Emissions and credits associated with product disposal and recycling.</w:t>
      </w:r>
    </w:p>
    <w:p>
      <w:pPr>
        <w:numPr>
          <w:ilvl w:val="0"/>
          <w:numId w:val="1010"/>
        </w:numPr>
        <w:pStyle w:val="Compact"/>
      </w:pPr>
      <w:r>
        <w:t xml:space="preserve">Product Mass for EoL: 0.65 kg</w:t>
      </w:r>
    </w:p>
    <w:p>
      <w:pPr>
        <w:numPr>
          <w:ilvl w:val="0"/>
          <w:numId w:val="1010"/>
        </w:numPr>
        <w:pStyle w:val="Compact"/>
      </w:pPr>
      <w:r>
        <w:t xml:space="preserve">Recyclability Percentage (qfdtlmxenw): 70% (example value)</w:t>
      </w:r>
    </w:p>
    <w:p>
      <w:pPr>
        <w:numPr>
          <w:ilvl w:val="0"/>
          <w:numId w:val="1010"/>
        </w:numPr>
        <w:pStyle w:val="Compact"/>
      </w:pPr>
      <w:r>
        <w:t xml:space="preserve">Circular/Take-back Programs (jlenmxuvqf): "Active recycling program with 20% collection rate beyond standard recycling" (interpreted as increasing effective recycling rate by 6 percentage points).</w:t>
      </w:r>
      <w:r>
        <w:br/>
      </w:r>
      <w:r>
        <w:t xml:space="preserve">Effective Recycling Rate = 70% + (0.20 × (100% - 70%)) = 70% + 6% = 76%.</w:t>
      </w:r>
    </w:p>
    <w:p>
      <w:pPr>
        <w:numPr>
          <w:ilvl w:val="0"/>
          <w:numId w:val="1010"/>
        </w:numPr>
        <w:pStyle w:val="Compact"/>
      </w:pPr>
      <w:r>
        <w:t xml:space="preserve">EoL Disposal Factor: 0.3 kg CO2e/kg (for non-recycled portion)</w:t>
      </w:r>
    </w:p>
    <w:p>
      <w:pPr>
        <w:numPr>
          <w:ilvl w:val="0"/>
          <w:numId w:val="1010"/>
        </w:numPr>
        <w:pStyle w:val="Compact"/>
      </w:pPr>
      <w:r>
        <w:t xml:space="preserve">EoL Recycling Benefit Factor: 0.5 kg CO2e/kg (credit for recycled portion)</w:t>
      </w:r>
    </w:p>
    <w:p>
      <w:pPr>
        <w:numPr>
          <w:ilvl w:val="0"/>
          <w:numId w:val="1010"/>
        </w:numPr>
        <w:pStyle w:val="Compact"/>
      </w:pPr>
      <w:r>
        <w:t xml:space="preserve">Calculation:</w:t>
      </w:r>
    </w:p>
    <w:p>
      <w:pPr>
        <w:numPr>
          <w:ilvl w:val="1"/>
          <w:numId w:val="1011"/>
        </w:numPr>
        <w:pStyle w:val="Compact"/>
      </w:pPr>
      <w:r>
        <w:t xml:space="preserve">Emissions from non-recycled portion: 0.65 kg × (1 - 0.76) × 0.3 kgCO2e/kg = 0.0468 kg CO2e</w:t>
      </w:r>
    </w:p>
    <w:p>
      <w:pPr>
        <w:numPr>
          <w:ilvl w:val="1"/>
          <w:numId w:val="1011"/>
        </w:numPr>
        <w:pStyle w:val="Compact"/>
      </w:pPr>
      <w:r>
        <w:t xml:space="preserve">Credit from recycled portion: 0.65 kg × 0.76 × 0.5 kgCO2e/kg = 0.247 kg CO2e (benefit)</w:t>
      </w:r>
    </w:p>
    <w:p>
      <w:pPr>
        <w:numPr>
          <w:ilvl w:val="1"/>
          <w:numId w:val="1011"/>
        </w:numPr>
        <w:pStyle w:val="Compact"/>
      </w:pPr>
      <w:r>
        <w:t xml:space="preserve">Net EoL Emissions: 0.0468 - 0.247 = -0.2002 kg CO2e</w:t>
      </w:r>
    </w:p>
    <w:p>
      <w:pPr>
        <w:pStyle w:val="FirstParagraph"/>
      </w:pPr>
      <w:r>
        <w:rPr>
          <w:bCs/>
          <w:b/>
        </w:rPr>
        <w:t xml:space="preserve">Total End-of-Life Emissions: -0.20 kg CO2e (Net Benefit)</w:t>
      </w:r>
    </w:p>
    <w:bookmarkEnd w:id="34"/>
    <w:bookmarkEnd w:id="35"/>
    <w:bookmarkStart w:id="36" w:name="total-product-carbon-footprint"/>
    <w:p>
      <w:pPr>
        <w:pStyle w:val="Heading3"/>
      </w:pPr>
      <w:r>
        <w:t xml:space="preserve">Total Product Carbon Footprint</w:t>
      </w:r>
    </w:p>
    <w:p>
      <w:pPr>
        <w:pStyle w:val="FirstParagraph"/>
      </w:pPr>
      <w:r>
        <w:t xml:space="preserve">Summing up emissions across all lifecycle stages:</w:t>
      </w:r>
    </w:p>
    <w:p>
      <w:pPr>
        <w:numPr>
          <w:ilvl w:val="0"/>
          <w:numId w:val="1012"/>
        </w:numPr>
        <w:pStyle w:val="Compact"/>
      </w:pPr>
      <w:r>
        <w:t xml:space="preserve">Materials: 2.76 kg CO2e</w:t>
      </w:r>
    </w:p>
    <w:p>
      <w:pPr>
        <w:numPr>
          <w:ilvl w:val="0"/>
          <w:numId w:val="1012"/>
        </w:numPr>
        <w:pStyle w:val="Compact"/>
      </w:pPr>
      <w:r>
        <w:t xml:space="preserve">Manufacturing: 1.45 kg CO2e</w:t>
      </w:r>
    </w:p>
    <w:p>
      <w:pPr>
        <w:numPr>
          <w:ilvl w:val="0"/>
          <w:numId w:val="1012"/>
        </w:numPr>
        <w:pStyle w:val="Compact"/>
      </w:pPr>
      <w:r>
        <w:t xml:space="preserve">Transport &amp; Distribution: 12.86 kg CO2e</w:t>
      </w:r>
    </w:p>
    <w:p>
      <w:pPr>
        <w:numPr>
          <w:ilvl w:val="0"/>
          <w:numId w:val="1012"/>
        </w:numPr>
        <w:pStyle w:val="Compact"/>
      </w:pPr>
      <w:r>
        <w:t xml:space="preserve">Use Phase: 9.00 kg CO2e</w:t>
      </w:r>
    </w:p>
    <w:p>
      <w:pPr>
        <w:numPr>
          <w:ilvl w:val="0"/>
          <w:numId w:val="1012"/>
        </w:numPr>
        <w:pStyle w:val="Compact"/>
      </w:pPr>
      <w:r>
        <w:t xml:space="preserve">End-of-Life: -0.20 kg CO2e</w:t>
      </w:r>
    </w:p>
    <w:p>
      <w:pPr>
        <w:pStyle w:val="FirstParagraph"/>
      </w:pPr>
      <w:r>
        <w:rPr>
          <w:bCs/>
          <w:b/>
        </w:rPr>
        <w:t xml:space="preserve">Overall Product Carbon Footprint (PCF) for one unit of vodixdfijl: 25.87 kg CO2e</w:t>
      </w:r>
    </w:p>
    <w:p>
      <w:r>
        <w:pict>
          <v:rect style="width:0;height:1.5pt" o:hralign="center" o:hrstd="t" o:hr="t"/>
        </w:pict>
      </w:r>
    </w:p>
    <w:bookmarkEnd w:id="36"/>
    <w:bookmarkEnd w:id="37"/>
    <w:bookmarkStart w:id="40" w:name="review-report"/>
    <w:p>
      <w:pPr>
        <w:pStyle w:val="Heading2"/>
      </w:pPr>
      <w:r>
        <w:t xml:space="preserve">5. Review &amp; Report</w:t>
      </w:r>
    </w:p>
    <w:p>
      <w:pPr>
        <w:pStyle w:val="FirstParagraph"/>
      </w:pPr>
      <w:r>
        <w:t xml:space="preserve">This section summarizes the key findings and highlights significant emission hotspots and data reliability.</w:t>
      </w:r>
    </w:p>
    <w:bookmarkStart w:id="38" w:name="summary-of-emissions-by-scope-and-stage"/>
    <w:p>
      <w:pPr>
        <w:pStyle w:val="Heading3"/>
      </w:pPr>
      <w:r>
        <w:t xml:space="preserve">Summary of Emissions by Scope and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c>
          <w:tcPr/>
          <w:p>
            <w:pPr>
              <w:pStyle w:val="Compact"/>
              <w:jc w:val="left"/>
            </w:pPr>
            <w:r>
              <w:t xml:space="preserve">Percentage of Total (%)</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2.76</w:t>
            </w:r>
          </w:p>
        </w:tc>
        <w:tc>
          <w:tcPr/>
          <w:p>
            <w:pPr>
              <w:pStyle w:val="Compact"/>
              <w:jc w:val="left"/>
            </w:pPr>
            <w:r>
              <w:t xml:space="preserve">10.67%</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1.45</w:t>
            </w:r>
          </w:p>
        </w:tc>
        <w:tc>
          <w:tcPr/>
          <w:p>
            <w:pPr>
              <w:pStyle w:val="Compact"/>
              <w:jc w:val="left"/>
            </w:pPr>
            <w:r>
              <w:t xml:space="preserve">5.61%</w:t>
            </w:r>
          </w:p>
        </w:tc>
      </w:tr>
      <w:tr>
        <w:tc>
          <w:tcPr/>
          <w:p>
            <w:pPr>
              <w:pStyle w:val="Compact"/>
              <w:jc w:val="left"/>
            </w:pPr>
            <w:r>
              <w:t xml:space="preserve">Transport &amp; Distribution (Upstream)</w:t>
            </w:r>
          </w:p>
        </w:tc>
        <w:tc>
          <w:tcPr/>
          <w:p>
            <w:pPr>
              <w:pStyle w:val="Compact"/>
              <w:jc w:val="left"/>
            </w:pPr>
            <w:r>
              <w:t xml:space="preserve">Scope 3 (Category 4)</w:t>
            </w:r>
          </w:p>
        </w:tc>
        <w:tc>
          <w:tcPr/>
          <w:p>
            <w:pPr>
              <w:pStyle w:val="Compact"/>
              <w:jc w:val="left"/>
            </w:pPr>
            <w:r>
              <w:t xml:space="preserve">0.195</w:t>
            </w:r>
          </w:p>
        </w:tc>
        <w:tc>
          <w:tcPr/>
          <w:p>
            <w:pPr>
              <w:pStyle w:val="Compact"/>
              <w:jc w:val="left"/>
            </w:pPr>
            <w:r>
              <w:t xml:space="preserve">0.75%</w:t>
            </w:r>
          </w:p>
        </w:tc>
      </w:tr>
      <w:tr>
        <w:tc>
          <w:tcPr/>
          <w:p>
            <w:pPr>
              <w:pStyle w:val="Compact"/>
              <w:jc w:val="left"/>
            </w:pPr>
            <w:r>
              <w:t xml:space="preserve">Transport &amp; Distribution (Downstream &amp; Last-Mile)</w:t>
            </w:r>
          </w:p>
        </w:tc>
        <w:tc>
          <w:tcPr/>
          <w:p>
            <w:pPr>
              <w:pStyle w:val="Compact"/>
              <w:jc w:val="left"/>
            </w:pPr>
            <w:r>
              <w:t xml:space="preserve">Scope 3 (Category 9)</w:t>
            </w:r>
          </w:p>
        </w:tc>
        <w:tc>
          <w:tcPr/>
          <w:p>
            <w:pPr>
              <w:pStyle w:val="Compact"/>
              <w:jc w:val="left"/>
            </w:pPr>
            <w:r>
              <w:t xml:space="preserve">12.662</w:t>
            </w:r>
          </w:p>
        </w:tc>
        <w:tc>
          <w:tcPr/>
          <w:p>
            <w:pPr>
              <w:pStyle w:val="Compact"/>
              <w:jc w:val="left"/>
            </w:pPr>
            <w:r>
              <w:t xml:space="preserve">48.96%</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9.00</w:t>
            </w:r>
          </w:p>
        </w:tc>
        <w:tc>
          <w:tcPr/>
          <w:p>
            <w:pPr>
              <w:pStyle w:val="Compact"/>
              <w:jc w:val="left"/>
            </w:pPr>
            <w:r>
              <w:t xml:space="preserve">34.79%</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-0.20</w:t>
            </w:r>
          </w:p>
        </w:tc>
        <w:tc>
          <w:tcPr/>
          <w:p>
            <w:pPr>
              <w:pStyle w:val="Compact"/>
              <w:jc w:val="left"/>
            </w:pPr>
            <w:r>
              <w:t xml:space="preserve">-0.77%</w:t>
            </w:r>
          </w:p>
        </w:tc>
      </w:tr>
      <w:tr>
        <w:tc>
          <w:tcPr/>
          <w:p>
            <w:pPr>
              <w:pStyle w:val="Compact"/>
              <w:jc w:val="left"/>
            </w:pPr>
            <w:r>
              <w:rPr>
                <w:bCs/>
                <w:b/>
              </w:rPr>
              <w:t xml:space="preserve">TOTAL</w:t>
            </w:r>
          </w:p>
        </w:tc>
        <w:tc>
          <w:tcPr/>
          <w:p>
            <w:pPr>
              <w:pStyle w:val="Compact"/>
            </w:pPr>
          </w:p>
        </w:tc>
        <w:tc>
          <w:tcPr/>
          <w:p>
            <w:pPr>
              <w:pStyle w:val="Compact"/>
              <w:jc w:val="left"/>
            </w:pPr>
            <w:r>
              <w:rPr>
                <w:bCs/>
                <w:b/>
              </w:rPr>
              <w:t xml:space="preserve">25.87</w:t>
            </w:r>
          </w:p>
        </w:tc>
        <w:tc>
          <w:tcPr/>
          <w:p>
            <w:pPr>
              <w:pStyle w:val="Compact"/>
              <w:jc w:val="left"/>
            </w:pPr>
            <w:r>
              <w:rPr>
                <w:bCs/>
                <w:b/>
              </w:rPr>
              <w:t xml:space="preserve">100.00%</w:t>
            </w:r>
          </w:p>
        </w:tc>
      </w:tr>
    </w:tbl>
    <w:bookmarkEnd w:id="38"/>
    <w:bookmarkStart w:id="39" w:name="hotspots-and-reliability"/>
    <w:p>
      <w:pPr>
        <w:pStyle w:val="Heading3"/>
      </w:pPr>
      <w:r>
        <w:t xml:space="preserve">Hotspots and Reliability</w:t>
      </w:r>
    </w:p>
    <w:p>
      <w:pPr>
        <w:numPr>
          <w:ilvl w:val="0"/>
          <w:numId w:val="1013"/>
        </w:numPr>
        <w:pStyle w:val="Compact"/>
      </w:pPr>
      <w:r>
        <w:rPr>
          <w:bCs/>
          <w:b/>
        </w:rPr>
        <w:t xml:space="preserve">Primary Hotspots:</w:t>
      </w:r>
      <w:r>
        <w:t xml:space="preserve"> </w:t>
      </w:r>
      <w:r>
        <w:t xml:space="preserve">The most significant contributors to the PCF for \'vodixdfijl\' are Downstream Transport &amp; Distribution (48.96%), largely driven by last-mile delivery, and the Use Phase (34.79%) due to product energy consumption over its lifespan. Raw Material Acquisition (10.67%) is also a notable contributor.</w:t>
      </w:r>
    </w:p>
    <w:p>
      <w:pPr>
        <w:numPr>
          <w:ilvl w:val="0"/>
          <w:numId w:val="1013"/>
        </w:numPr>
        <w:pStyle w:val="Compact"/>
      </w:pPr>
      <w:r>
        <w:rPr>
          <w:bCs/>
          <w:b/>
        </w:rPr>
        <w:t xml:space="preserve">Last-Mile Delivery Impact:</w:t>
      </w:r>
      <w:r>
        <w:t xml:space="preserve"> </w:t>
      </w:r>
      <w:r>
        <w:t xml:space="preserve">The substantial contribution from last-mile delivery (part of Downstream Transport) highlights the importance of optimizing distribution networks and exploring alternative delivery methods.</w:t>
      </w:r>
    </w:p>
    <w:p>
      <w:pPr>
        <w:numPr>
          <w:ilvl w:val="0"/>
          <w:numId w:val="1013"/>
        </w:numPr>
        <w:pStyle w:val="Compact"/>
      </w:pPr>
      <w:r>
        <w:rPr>
          <w:bCs/>
          <w:b/>
        </w:rPr>
        <w:t xml:space="preserve">Use Phase Optimization:</w:t>
      </w:r>
      <w:r>
        <w:t xml:space="preserve"> </w:t>
      </w:r>
      <w:r>
        <w:t xml:space="preserve">The Use Phase emissions underscore the need for energy-efficient product design and consumer education on responsible energy use.</w:t>
      </w:r>
    </w:p>
    <w:p>
      <w:pPr>
        <w:numPr>
          <w:ilvl w:val="0"/>
          <w:numId w:val="1013"/>
        </w:numPr>
        <w:pStyle w:val="Compact"/>
      </w:pPr>
      <w:r>
        <w:rPr>
          <w:bCs/>
          <w:b/>
        </w:rPr>
        <w:t xml:space="preserve">Circular Economy Benefits:</w:t>
      </w:r>
      <w:r>
        <w:t xml:space="preserve"> </w:t>
      </w:r>
      <w:r>
        <w:t xml:space="preserve">The negative emissions (net benefit) in the End-of-Life phase demonstrate the positive impact of high recyclability and active circular/take-back programs. The effective recycling rate of 76% significantly mitigates overall product impact.</w:t>
      </w:r>
    </w:p>
    <w:p>
      <w:pPr>
        <w:numPr>
          <w:ilvl w:val="0"/>
          <w:numId w:val="1013"/>
        </w:numPr>
        <w:pStyle w:val="Compact"/>
      </w:pPr>
      <w:r>
        <w:rPr>
          <w:bCs/>
          <w:b/>
        </w:rPr>
        <w:t xml:space="preserve">Data Reliability:</w:t>
      </w:r>
      <w:r>
        <w:t xml:space="preserve"> </w:t>
      </w:r>
      <w:r>
        <w:t xml:space="preserve">The calculations used specific primary data from the provided BOM, energy intensity, and transport parameters. Secondary data, such as emission factors for electricity grids and transport modes, were sourced from recognized industry standards (e.g., IEA, DEFRA references). The 2026 GHG Protocol Scope 3 requirements for 95% coverage are met through this detailed lifecycle approach. While specific primary data for every minor upstream process was not available, efforts focused on key emission drivers for accuracy.</w:t>
      </w:r>
    </w:p>
    <w:p>
      <w:r>
        <w:pict>
          <v:rect style="width:0;height:1.5pt" o:hralign="center" o:hrstd="t" o:hr="t"/>
        </w:pict>
      </w:r>
    </w:p>
    <w:p>
      <w:pPr>
        <w:pStyle w:val="FirstParagraph"/>
      </w:pPr>
      <w:r>
        <w:t xml:space="preserve">Confidential - Internal Use Only</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vodixdfijl</dc:title>
  <dc:creator/>
  <dc:description>High-detail Product Carbon Footprint (PCF) analysis report for vodixdfijl, developed by Senior Sustainability Consultant gvgoyvvjxv for gqsqqwgwde, adhering to GHG Protocol standards and 2026 updates.</dc:description>
  <dc:language>en</dc:language>
  <cp:keywords/>
  <dcterms:created xsi:type="dcterms:W3CDTF">2026-07-16T03:18:22Z</dcterms:created>
  <dcterms:modified xsi:type="dcterms:W3CDTF">2026-07-16T03:18:22Z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