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vnuihnizle</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t xml:space="preserve">Product: vnuihnizle</w:t>
      </w:r>
    </w:p>
    <w:p>
      <w:pPr>
        <w:pStyle w:val="BodyText"/>
      </w:pPr>
      <w:r>
        <w:t xml:space="preserve">Company Name: evlfxtmsms</w:t>
      </w:r>
    </w:p>
    <w:p>
      <w:pPr>
        <w:pStyle w:val="BodyText"/>
      </w:pPr>
      <w:r>
        <w:t xml:space="preserve">Protocol Data (Accounting Standard): GHG Protocol</w:t>
      </w:r>
    </w:p>
    <w:p>
      <w:pPr>
        <w:pStyle w:val="BodyText"/>
      </w:pPr>
      <w:r>
        <w:t xml:space="preserve">Senior Sustainability Consultant: dfdjmxnfhr</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parameters provided.</w:t>
      </w:r>
    </w:p>
    <w:bookmarkEnd w:id="20"/>
    <w:bookmarkStart w:id="51" w:name="Xdcfec6f7495590740a670681c32e4d406513778"/>
    <w:p>
      <w:pPr>
        <w:pStyle w:val="Heading1"/>
      </w:pPr>
      <w:r>
        <w:t xml:space="preserve">Product Carbon Footprint Analysis for vnuihnizle</w:t>
      </w:r>
    </w:p>
    <w:bookmarkStart w:id="21" w:name="generated-date-may-20-2026"/>
    <w:p>
      <w:pPr>
        <w:pStyle w:val="Heading2"/>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vnuihnizle</w:t>
      </w:r>
      <w:r>
        <w:t xml:space="preserve"> </w:t>
      </w:r>
      <w:r>
        <w:t xml:space="preserve">manufactured by</w:t>
      </w:r>
      <w:r>
        <w:t xml:space="preserve"> </w:t>
      </w:r>
      <w:r>
        <w:rPr>
          <w:bCs/>
          <w:b/>
        </w:rPr>
        <w:t xml:space="preserve">evlfxtmsms</w:t>
      </w:r>
      <w:r>
        <w:t xml:space="preserve">. As</w:t>
      </w:r>
      <w:r>
        <w:t xml:space="preserve"> </w:t>
      </w:r>
      <w:r>
        <w:rPr>
          <w:bCs/>
          <w:b/>
        </w:rPr>
        <w:t xml:space="preserve">dfdjmxnfhr</w:t>
      </w:r>
      <w:r>
        <w:t xml:space="preserve">, a Senior Sustainability Consultant specializing in GHG Protocol, this assessment adheres strictly to the GHG Protocol\'s methodologies, including the application of the upcoming 2026 Land Sector and Removals (LSR) Standard and the 95% Scope 3 coverage requirement. The analysis covers the entire lifecycle, from raw material acquisition through manufacturing, transport, use, and end-of-life, providing a comprehensive understanding of the product\'s greenhouse gas emissions. Key emission hotspots are identified, and the report outlines the methodology, data collection, and calculation processes to ensure transparency and accuracy.</w:t>
      </w:r>
    </w:p>
    <w:p>
      <w:r>
        <w:pict>
          <v:rect style="width:0;height:1.5pt" o:hralign="center" o:hrstd="t" o:hr="t"/>
        </w:pict>
      </w:r>
    </w:p>
    <w:bookmarkEnd w:id="22"/>
    <w:bookmarkStart w:id="29" w:name="define-scope"/>
    <w:p>
      <w:pPr>
        <w:pStyle w:val="Heading2"/>
      </w:pPr>
      <w:r>
        <w:t xml:space="preserve">1. Define Scope</w:t>
      </w:r>
    </w:p>
    <w:p>
      <w:pPr>
        <w:pStyle w:val="FirstParagraph"/>
      </w:pPr>
      <w:r>
        <w:t xml:space="preserve">This foundational step establishes the boundaries and parameters for the Product Carbon Footprint (PCF) analysis of</w:t>
      </w:r>
      <w:r>
        <w:t xml:space="preserve"> </w:t>
      </w:r>
      <w:r>
        <w:rPr>
          <w:bCs/>
          <w:b/>
        </w:rPr>
        <w:t xml:space="preserve">vnuihnizle</w:t>
      </w:r>
      <w:r>
        <w:t xml:space="preserv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vnuihnizle</w:t>
      </w:r>
      <w:r>
        <w:t xml:space="preserve">. This unit serves as the reference basis for quantifying all associated environmental impacts.</w:t>
      </w:r>
    </w:p>
    <w:bookmarkEnd w:id="23"/>
    <w:bookmarkStart w:id="24" w:name="system-boundary"/>
    <w:p>
      <w:pPr>
        <w:pStyle w:val="Heading3"/>
      </w:pPr>
      <w:r>
        <w:t xml:space="preserve">1.2. System Boundary</w:t>
      </w:r>
    </w:p>
    <w:p>
      <w:pPr>
        <w:pStyle w:val="FirstParagraph"/>
      </w:pPr>
      <w:r>
        <w:t xml:space="preserve">The specified system boundary is primarily</w:t>
      </w:r>
      <w:r>
        <w:t xml:space="preserve"> </w:t>
      </w:r>
      <w:r>
        <w:rPr>
          <w:bCs/>
          <w:b/>
        </w:rPr>
        <w:t xml:space="preserve">factory_gate</w:t>
      </w:r>
      <w:r>
        <w:t xml:space="preserve">. However, in line with the detailed requirements for this analysis, the scope has been expanded to a modified Cradle-to-Grave approach. While the primary focus for operational emissions remains at the factory gate, downstream phases including product use and end-of-life scenarios are incorporated to provide a comprehensive lifecycle perspective as per the GHG Protocol Product Standard.</w:t>
      </w:r>
    </w:p>
    <w:p>
      <w:pPr>
        <w:numPr>
          <w:ilvl w:val="0"/>
          <w:numId w:val="1002"/>
        </w:numPr>
        <w:pStyle w:val="Compact"/>
      </w:pPr>
      <w:r>
        <w:rPr>
          <w:bCs/>
          <w:b/>
        </w:rPr>
        <w:t xml:space="preserve">Included Stages:</w:t>
      </w:r>
      <w:r>
        <w:t xml:space="preserve"> </w:t>
      </w:r>
      <w:r>
        <w:t xml:space="preserve">Raw material extraction and processing, manufacturing (at the production country), upstream and downstream transportation, product use phase, and end-of-life treatment.</w:t>
      </w:r>
    </w:p>
    <w:p>
      <w:pPr>
        <w:numPr>
          <w:ilvl w:val="0"/>
          <w:numId w:val="1002"/>
        </w:numPr>
        <w:pStyle w:val="Compact"/>
      </w:pPr>
      <w:r>
        <w:rPr>
          <w:bCs/>
          <w:b/>
        </w:rPr>
        <w:t xml:space="preserve">Excluded Stages:</w:t>
      </w:r>
      <w:r>
        <w:t xml:space="preserve"> </w:t>
      </w:r>
      <w:r>
        <w:t xml:space="preserve">Capital goods, employee commuting, and business travel related to corporate operations not directly attributable to the product lifecycle are generally excluded unless explicitly material to the product\'s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primary upstream transport from Europe to China)</w:t>
      </w:r>
    </w:p>
    <w:bookmarkEnd w:id="25"/>
    <w:bookmarkStart w:id="26" w:name="accounting-standard"/>
    <w:p>
      <w:pPr>
        <w:pStyle w:val="Heading3"/>
      </w:pPr>
      <w:r>
        <w:t xml:space="preserve">1.4. Accounting Standard</w:t>
      </w:r>
    </w:p>
    <w:p>
      <w:pPr>
        <w:numPr>
          <w:ilvl w:val="0"/>
          <w:numId w:val="1004"/>
        </w:numPr>
        <w:pStyle w:val="Compact"/>
      </w:pPr>
      <w:r>
        <w:t xml:space="preserve">The analysis strictly adheres to the</w:t>
      </w:r>
      <w:r>
        <w:t xml:space="preserve"> </w:t>
      </w:r>
      <w:r>
        <w:rPr>
          <w:bCs/>
          <w:b/>
        </w:rPr>
        <w:t xml:space="preserve">GHG Protocol</w:t>
      </w:r>
      <w:r>
        <w:t xml:space="preserve"> </w:t>
      </w:r>
      <w:r>
        <w:t xml:space="preserve">for corporate value chain (Scope 3) accounting and reporting. This ensures consistency and comparability of emissions reporting.</w:t>
      </w:r>
    </w:p>
    <w:bookmarkEnd w:id="26"/>
    <w:bookmarkStart w:id="27" w:name="allocation"/>
    <w:p>
      <w:pPr>
        <w:pStyle w:val="Heading3"/>
      </w:pPr>
      <w:r>
        <w:t xml:space="preserve">1.5. Allocation</w:t>
      </w:r>
    </w:p>
    <w:p>
      <w:pPr>
        <w:numPr>
          <w:ilvl w:val="0"/>
          <w:numId w:val="1005"/>
        </w:numPr>
        <w:pStyle w:val="Compact"/>
      </w:pPr>
      <w:r>
        <w:t xml:space="preserve">Allocation of emissions to the functional unit is based on direct attribution where possible. For shared processes or co-products, mass-based allocation is applied, distributing emissions proportionally based on the mass of the product relative to other outputs.</w:t>
      </w:r>
    </w:p>
    <w:bookmarkEnd w:id="27"/>
    <w:bookmarkStart w:id="28" w:name="ghg-protocol-adherence-and-2026-updates"/>
    <w:p>
      <w:pPr>
        <w:pStyle w:val="Heading3"/>
      </w:pPr>
      <w:r>
        <w:t xml:space="preserve">1.6. GHG Protocol Adherence and 2026 Updates</w:t>
      </w:r>
    </w:p>
    <w:p>
      <w:pPr>
        <w:pStyle w:val="FirstParagraph"/>
      </w:pPr>
      <w:r>
        <w:t xml:space="preserve">Emissions are categorized into the three scopes as defined by the GHG Protocol:</w:t>
      </w:r>
    </w:p>
    <w:p>
      <w:pPr>
        <w:numPr>
          <w:ilvl w:val="0"/>
          <w:numId w:val="1006"/>
        </w:numPr>
        <w:pStyle w:val="Compact"/>
      </w:pPr>
      <w:r>
        <w:rPr>
          <w:bCs/>
          <w:b/>
        </w:rPr>
        <w:t xml:space="preserve">Scope 1:</w:t>
      </w:r>
      <w:r>
        <w:t xml:space="preserve"> </w:t>
      </w:r>
      <w:r>
        <w:t xml:space="preserve">Direct greenhouse gas (GHG) emissions from sources owned or controlled by evlfxtmsms (e.g., on-site fuel combustion).</w:t>
      </w:r>
    </w:p>
    <w:p>
      <w:pPr>
        <w:numPr>
          <w:ilvl w:val="0"/>
          <w:numId w:val="1006"/>
        </w:numPr>
        <w:pStyle w:val="Compact"/>
      </w:pPr>
      <w:r>
        <w:rPr>
          <w:bCs/>
          <w:b/>
        </w:rPr>
        <w:t xml:space="preserve">Scope 2:</w:t>
      </w:r>
      <w:r>
        <w:t xml:space="preserve"> </w:t>
      </w:r>
      <w:r>
        <w:t xml:space="preserve">Indirect GHG emissions from the generation of purchased electricity, steam, heat, or cooling consumed by evlfxtmsms.</w:t>
      </w:r>
    </w:p>
    <w:p>
      <w:pPr>
        <w:numPr>
          <w:ilvl w:val="0"/>
          <w:numId w:val="1006"/>
        </w:numPr>
        <w:pStyle w:val="Compact"/>
      </w:pPr>
      <w:r>
        <w:rPr>
          <w:bCs/>
          <w:b/>
        </w:rPr>
        <w:t xml:space="preserve">Scope 3:</w:t>
      </w:r>
      <w:r>
        <w:t xml:space="preserve"> </w:t>
      </w:r>
      <w:r>
        <w:t xml:space="preserve">All other indirect emissions occurring in the value chain of evlfxtmsms, both upstream and downstream. This includes emissions from purchased goods and services, transportation, use of sold products, and end-of-life treatment of sold products.</w:t>
      </w:r>
    </w:p>
    <w:p>
      <w:pPr>
        <w:pStyle w:val="FirstParagraph"/>
      </w:pPr>
      <w:r>
        <w:t xml:space="preserve">The analysis incorporates key updates to the GHG Protocol guidance for 2026:</w:t>
      </w:r>
    </w:p>
    <w:p>
      <w:pPr>
        <w:numPr>
          <w:ilvl w:val="0"/>
          <w:numId w:val="1007"/>
        </w:numPr>
        <w:pStyle w:val="Compact"/>
      </w:pPr>
      <w:r>
        <w:rPr>
          <w:bCs/>
          <w:b/>
        </w:rPr>
        <w:t xml:space="preserve">2026 LSR Update:</w:t>
      </w:r>
      <w:r>
        <w:t xml:space="preserve"> </w:t>
      </w:r>
      <w:r>
        <w:t xml:space="preserve">The Land Sector and Removals (LSR) Standard, taking effect January 1, 2027, is applied to account for land use change and carbon removals, particularly relevant for bio-based materials. The LSR Standard provides requirements for quantifying, reporting, and tracking land emissions, CO₂ removals, and other metrics.</w:t>
      </w:r>
    </w:p>
    <w:p>
      <w:pPr>
        <w:numPr>
          <w:ilvl w:val="0"/>
          <w:numId w:val="1007"/>
        </w:numPr>
        <w:pStyle w:val="Compact"/>
      </w:pPr>
      <w:r>
        <w:rPr>
          <w:bCs/>
          <w:b/>
        </w:rPr>
        <w:t xml:space="preserve">Scope 3 Compliance:</w:t>
      </w:r>
      <w:r>
        <w:t xml:space="preserve"> </w:t>
      </w:r>
      <w:r>
        <w:t xml:space="preserve">As per the proposed 2026 requirements, efforts are made to ensure at least 95% coverage for Scope 3 reporting. This stricter threshold mandates comprehensive accounting of relevant value chain emissions, moving away from selective disclosure.</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lifecycle stages mapped for</w:t>
      </w:r>
      <w:r>
        <w:t xml:space="preserve"> </w:t>
      </w:r>
      <w:r>
        <w:rPr>
          <w:bCs/>
          <w:b/>
        </w:rPr>
        <w:t xml:space="preserve">vnuihnizle</w:t>
      </w:r>
      <w:r>
        <w:t xml:space="preserve"> </w:t>
      </w:r>
      <w:r>
        <w:t xml:space="preserve">and the data collection strategy, utilizing the provided parameters. Due to the placeholder nature of some input parameters, illustrative data has been used to demonstrate the calculation methodology. Actual numerical results would require validated, specific input data.</w:t>
      </w:r>
    </w:p>
    <w:bookmarkStart w:id="30" w:name="detailed-bill-of-materials-bom-analysis"/>
    <w:p>
      <w:pPr>
        <w:pStyle w:val="Heading3"/>
      </w:pPr>
      <w:r>
        <w:t xml:space="preserve">3.1. Detailed Bill of Materials (BOM) Analysis</w:t>
      </w:r>
    </w:p>
    <w:p>
      <w:pPr>
        <w:pStyle w:val="FirstParagraph"/>
      </w:pPr>
      <w:r>
        <w:t xml:space="preserve">The Bill of Materials (BOM)</w:t>
      </w:r>
      <w:r>
        <w:t xml:space="preserve"> </w:t>
      </w:r>
      <w:r>
        <w:rPr>
          <w:bCs/>
          <w:b/>
        </w:rPr>
        <w:t xml:space="preserve">yejxoqmk</w:t>
      </w:r>
      <w:r>
        <w:t xml:space="preserve"> </w:t>
      </w:r>
      <w:r>
        <w:t xml:space="preserve">is crucial for calculating the material-related emissions (Scope 3, Category 1: Purchased Goods and Services). For this report, an illustrative BOM based on the specified format (ID, Description, Category, Process, Qty, Unit, Emission Factor, Total Carbon) is presented below.</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Alloy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MAT002</w:t>
            </w:r>
          </w:p>
        </w:tc>
        <w:tc>
          <w:tcPr/>
          <w:p>
            <w:pPr>
              <w:pStyle w:val="Compact"/>
              <w:jc w:val="left"/>
            </w:pPr>
            <w:r>
              <w:t xml:space="preserve">Recycled Plastic Casing</w:t>
            </w:r>
          </w:p>
        </w:tc>
        <w:tc>
          <w:tcPr/>
          <w:p>
            <w:pPr>
              <w:pStyle w:val="Compact"/>
              <w:jc w:val="left"/>
            </w:pPr>
            <w:r>
              <w:t xml:space="preserve">Plastic</w:t>
            </w:r>
          </w:p>
        </w:tc>
        <w:tc>
          <w:tcPr/>
          <w:p>
            <w:pPr>
              <w:pStyle w:val="Compact"/>
              <w:jc w:val="left"/>
            </w:pPr>
            <w:r>
              <w:t xml:space="preserve">Recycled Granulate</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10.25</w:t>
            </w:r>
          </w:p>
        </w:tc>
      </w:tr>
    </w:tbl>
    <w:p>
      <w:pPr>
        <w:pStyle w:val="BodyText"/>
      </w:pPr>
      <w:r>
        <w:rPr>
          <w:iCs/>
          <w:i/>
        </w:rPr>
        <w:t xml:space="preserve">Note: The above BOM data and "Total Carbon" values are illustrative, representing how the provided structure would be used for calculation. In a real assessment, precise data from suppliers (yejxoqmk) would be utilized.</w:t>
      </w:r>
    </w:p>
    <w:bookmarkEnd w:id="30"/>
    <w:bookmarkStart w:id="31" w:name="production-energy-inputs"/>
    <w:p>
      <w:pPr>
        <w:pStyle w:val="Heading3"/>
      </w:pPr>
      <w:r>
        <w:t xml:space="preserve">3.2. Production Energy Inputs</w:t>
      </w:r>
    </w:p>
    <w:p>
      <w:pPr>
        <w:pStyle w:val="FirstParagraph"/>
      </w:pPr>
      <w:r>
        <w:t xml:space="preserve">Energy consumption during the manufacturing phase (Scope 2 emissions) is a significant factor.</w:t>
      </w:r>
    </w:p>
    <w:p>
      <w:pPr>
        <w:numPr>
          <w:ilvl w:val="0"/>
          <w:numId w:val="1008"/>
        </w:numPr>
        <w:pStyle w:val="Compact"/>
      </w:pPr>
      <w:r>
        <w:rPr>
          <w:bCs/>
          <w:b/>
        </w:rPr>
        <w:t xml:space="preserve">Renewable Energy Usage (nvrwvrtohk):</w:t>
      </w:r>
      <w:r>
        <w:t xml:space="preserve"> </w:t>
      </w:r>
      <w:r>
        <w:t xml:space="preserve">Illustrative assumption of 50% renewable energy directly purchased or generated on-site.</w:t>
      </w:r>
    </w:p>
    <w:p>
      <w:pPr>
        <w:numPr>
          <w:ilvl w:val="0"/>
          <w:numId w:val="1008"/>
        </w:numPr>
        <w:pStyle w:val="Compact"/>
      </w:pPr>
      <w:r>
        <w:rPr>
          <w:bCs/>
          <w:b/>
        </w:rPr>
        <w:t xml:space="preserve">Energy Intensity (fhtolfdusx):</w:t>
      </w:r>
      <w:r>
        <w:t xml:space="preserve"> </w:t>
      </w:r>
      <w:r>
        <w:t xml:space="preserve">Illustrative assumption of 2 kWh/unit of</w:t>
      </w:r>
      <w:r>
        <w:t xml:space="preserve"> </w:t>
      </w:r>
      <w:r>
        <w:rPr>
          <w:bCs/>
          <w:b/>
        </w:rPr>
        <w:t xml:space="preserve">vnuihnizle</w:t>
      </w:r>
      <w:r>
        <w:t xml:space="preserve">.</w:t>
      </w:r>
    </w:p>
    <w:p>
      <w:pPr>
        <w:numPr>
          <w:ilvl w:val="0"/>
          <w:numId w:val="1008"/>
        </w:numPr>
        <w:pStyle w:val="Compact"/>
      </w:pPr>
      <w:r>
        <w:t xml:space="preserve">The remaining (100% - nvrwvrtohk) electricity demand is assumed to be sourced from the national grid in China.</w:t>
      </w:r>
    </w:p>
    <w:p>
      <w:pPr>
        <w:numPr>
          <w:ilvl w:val="0"/>
          <w:numId w:val="1008"/>
        </w:numPr>
        <w:pStyle w:val="Compact"/>
      </w:pPr>
      <w:r>
        <w:rPr>
          <w:bCs/>
          <w:b/>
        </w:rPr>
        <w:t xml:space="preserve">Illustrative China Grid Emission Factor:</w:t>
      </w:r>
      <w:r>
        <w:t xml:space="preserve"> </w:t>
      </w:r>
      <w:r>
        <w:t xml:space="preserve">Approximately 0.58 kgCO2e/kWh (an average of MEE and IEA data for 2021).</w:t>
      </w:r>
    </w:p>
    <w:bookmarkEnd w:id="31"/>
    <w:bookmarkStart w:id="32" w:name="logistics-data-scope-3-categories-4-9"/>
    <w:p>
      <w:pPr>
        <w:pStyle w:val="Heading3"/>
      </w:pPr>
      <w:r>
        <w:t xml:space="preserve">3.3. Logistics Data (Scope 3, Categories 4 &amp; 9)</w:t>
      </w:r>
    </w:p>
    <w:p>
      <w:pPr>
        <w:pStyle w:val="FirstParagraph"/>
      </w:pPr>
      <w:r>
        <w:t xml:space="preserve">Transportation emissions account for both upstream (materials to factory) and downstream (factory to customer) logistics.</w:t>
      </w:r>
    </w:p>
    <w:p>
      <w:pPr>
        <w:numPr>
          <w:ilvl w:val="0"/>
          <w:numId w:val="1009"/>
        </w:numPr>
        <w:pStyle w:val="Compact"/>
      </w:pPr>
      <w:r>
        <w:rPr>
          <w:bCs/>
          <w:b/>
        </w:rPr>
        <w:t xml:space="preserve">Primary Transport Mode (Select Mode):</w:t>
      </w:r>
      <w:r>
        <w:t xml:space="preserve"> </w:t>
      </w:r>
      <w:r>
        <w:t xml:space="preserve">Illustrative assumption of "Road Freight - Long Haul" for upstream transport.</w:t>
      </w:r>
    </w:p>
    <w:p>
      <w:pPr>
        <w:numPr>
          <w:ilvl w:val="0"/>
          <w:numId w:val="1009"/>
        </w:numPr>
        <w:pStyle w:val="Compact"/>
      </w:pPr>
      <w:r>
        <w:rPr>
          <w:bCs/>
          <w:b/>
        </w:rPr>
        <w:t xml:space="preserve">Transport Distance (nymkpoggwn):</w:t>
      </w:r>
      <w:r>
        <w:t xml:space="preserve"> </w:t>
      </w:r>
      <w:r>
        <w:t xml:space="preserve">Illustrative assumption of 2000 km (e.g., from European suppliers to China production facility).</w:t>
      </w:r>
    </w:p>
    <w:p>
      <w:pPr>
        <w:numPr>
          <w:ilvl w:val="0"/>
          <w:numId w:val="1009"/>
        </w:numPr>
        <w:pStyle w:val="Compact"/>
      </w:pPr>
      <w:r>
        <w:rPr>
          <w:bCs/>
          <w:b/>
        </w:rPr>
        <w:t xml:space="preserve">Last-Mile Delivery Channel (Delivery Type):</w:t>
      </w:r>
      <w:r>
        <w:t xml:space="preserve"> </w:t>
      </w:r>
      <w:r>
        <w:t xml:space="preserve">Illustrative assumption of "Last-Mile Van Delivery" for distribution to customers.</w:t>
      </w:r>
    </w:p>
    <w:p>
      <w:pPr>
        <w:numPr>
          <w:ilvl w:val="0"/>
          <w:numId w:val="1009"/>
        </w:numPr>
        <w:pStyle w:val="Compact"/>
      </w:pPr>
      <w:r>
        <w:rPr>
          <w:bCs/>
          <w:b/>
        </w:rPr>
        <w:t xml:space="preserve">Illustrative Last-Mile Distance:</w:t>
      </w:r>
      <w:r>
        <w:t xml:space="preserve"> </w:t>
      </w:r>
      <w:r>
        <w:t xml:space="preserve">500 km (within Europe).</w:t>
      </w:r>
    </w:p>
    <w:p>
      <w:pPr>
        <w:numPr>
          <w:ilvl w:val="0"/>
          <w:numId w:val="1009"/>
        </w:numPr>
        <w:pStyle w:val="Compact"/>
      </w:pPr>
      <w:r>
        <w:rPr>
          <w:bCs/>
          <w:b/>
        </w:rPr>
        <w:t xml:space="preserve">Illustrative Road Freight Emission Factor:</w:t>
      </w:r>
      <w:r>
        <w:t xml:space="preserve"> </w:t>
      </w:r>
      <w:r>
        <w:t xml:space="preserve">Approximately 0.09 kgCO2e/tkm for long-haul. A slightly higher factor of 0.15 kgCO2e/tkm for less efficient last-mile delivery is assumed. For calculation purposes, the product\'s weight is assumed to be 1 kg.</w:t>
      </w:r>
    </w:p>
    <w:p>
      <w:pPr>
        <w:pStyle w:val="FirstParagraph"/>
      </w:pPr>
      <w:r>
        <w:rPr>
          <w:iCs/>
          <w:i/>
        </w:rPr>
        <w:t xml:space="preserve">Note: Precise emission factors (e.g., from Ecoinvent/DEFRA databases) would be used in a real scenario, aligned with vehicle type, load factor, and fuel.</w:t>
      </w:r>
    </w:p>
    <w:bookmarkEnd w:id="32"/>
    <w:bookmarkStart w:id="33" w:name="use-phase-data-scope-3-category-11"/>
    <w:p>
      <w:pPr>
        <w:pStyle w:val="Heading3"/>
      </w:pPr>
      <w:r>
        <w:t xml:space="preserve">3.4. Use Phase Data (Scope 3, Category 11)</w:t>
      </w:r>
    </w:p>
    <w:p>
      <w:pPr>
        <w:pStyle w:val="FirstParagraph"/>
      </w:pPr>
      <w:r>
        <w:t xml:space="preserve">The energy consumption during the product\'s active use significantly contributes to its PCF, especially for electronic devices or appliances.</w:t>
      </w:r>
    </w:p>
    <w:p>
      <w:pPr>
        <w:numPr>
          <w:ilvl w:val="0"/>
          <w:numId w:val="1010"/>
        </w:numPr>
        <w:pStyle w:val="Compact"/>
      </w:pPr>
      <w:r>
        <w:rPr>
          <w:bCs/>
          <w:b/>
        </w:rPr>
        <w:t xml:space="preserve">Product Lifespan (jvlghokhpp):</w:t>
      </w:r>
      <w:r>
        <w:t xml:space="preserve"> </w:t>
      </w:r>
      <w:r>
        <w:t xml:space="preserve">Illustrative assumption of 5 years.</w:t>
      </w:r>
    </w:p>
    <w:p>
      <w:pPr>
        <w:numPr>
          <w:ilvl w:val="0"/>
          <w:numId w:val="1010"/>
        </w:numPr>
        <w:pStyle w:val="Compact"/>
      </w:pPr>
      <w:r>
        <w:rPr>
          <w:bCs/>
          <w:b/>
        </w:rPr>
        <w:t xml:space="preserve">Energy Consumption in Use (tzknifxxml):</w:t>
      </w:r>
      <w:r>
        <w:t xml:space="preserve"> </w:t>
      </w:r>
      <w:r>
        <w:t xml:space="preserve">Illustrative assumption of 10 kWh/year.</w:t>
      </w:r>
    </w:p>
    <w:p>
      <w:pPr>
        <w:numPr>
          <w:ilvl w:val="0"/>
          <w:numId w:val="1010"/>
        </w:numPr>
        <w:pStyle w:val="Compact"/>
      </w:pPr>
      <w:r>
        <w:rPr>
          <w:bCs/>
          <w:b/>
        </w:rPr>
        <w:t xml:space="preserve">Electricity Source:</w:t>
      </w:r>
      <w:r>
        <w:t xml:space="preserve"> </w:t>
      </w:r>
      <w:r>
        <w:t xml:space="preserve">Assumed to be grid electricity in Europe (average EU grid mix factor, illustratively 0.25 kgCO2e/kWh).</w:t>
      </w:r>
    </w:p>
    <w:bookmarkEnd w:id="33"/>
    <w:bookmarkStart w:id="34" w:name="X3261202975bfccb1283f2bd5fabef2dfdbe9c90"/>
    <w:p>
      <w:pPr>
        <w:pStyle w:val="Heading3"/>
      </w:pPr>
      <w:r>
        <w:t xml:space="preserve">3.5. End-of-Life (EoL) Scenarios (Scope 3, Category 12)</w:t>
      </w:r>
    </w:p>
    <w:p>
      <w:pPr>
        <w:pStyle w:val="FirstParagraph"/>
      </w:pPr>
      <w:r>
        <w:t xml:space="preserve">The end-of-life phase addresses the disposal, recycling, or recovery of the product and its components.</w:t>
      </w:r>
    </w:p>
    <w:p>
      <w:pPr>
        <w:numPr>
          <w:ilvl w:val="0"/>
          <w:numId w:val="1011"/>
        </w:numPr>
        <w:pStyle w:val="Compact"/>
      </w:pPr>
      <w:r>
        <w:rPr>
          <w:bCs/>
          <w:b/>
        </w:rPr>
        <w:t xml:space="preserve">Recyclability Percentage (qxldqlzhys):</w:t>
      </w:r>
      <w:r>
        <w:t xml:space="preserve"> </w:t>
      </w:r>
      <w:r>
        <w:t xml:space="preserve">Illustrative assumption of 70% recyclability by weight.</w:t>
      </w:r>
    </w:p>
    <w:p>
      <w:pPr>
        <w:numPr>
          <w:ilvl w:val="0"/>
          <w:numId w:val="1011"/>
        </w:numPr>
        <w:pStyle w:val="Compact"/>
      </w:pPr>
      <w:r>
        <w:rPr>
          <w:bCs/>
          <w:b/>
        </w:rPr>
        <w:t xml:space="preserve">Circular/Take-back Programs (ledskrjnee):</w:t>
      </w:r>
      <w:r>
        <w:t xml:space="preserve"> </w:t>
      </w:r>
      <w:r>
        <w:t xml:space="preserve">The presence of circular/take-back programs is acknowledged, contributing to higher material recovery rates and reduced virgin material demand. These programs enhance the circularity of materials, potentially yielding avoided emissions credits.</w:t>
      </w:r>
    </w:p>
    <w:p>
      <w:pPr>
        <w:numPr>
          <w:ilvl w:val="0"/>
          <w:numId w:val="1011"/>
        </w:numPr>
        <w:pStyle w:val="Compact"/>
      </w:pPr>
      <w:r>
        <w:rPr>
          <w:bCs/>
          <w:b/>
        </w:rPr>
        <w:t xml:space="preserve">Illustrative EoL Factors:</w:t>
      </w:r>
      <w:r>
        <w:t xml:space="preserve"> </w:t>
      </w:r>
      <w:r>
        <w:t xml:space="preserve">Based on material composition from BOM. For the non-recycled portion, landfill or incineration emissions are considered. For recycled materials, avoided emissions from virgin production are calculated.</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general formula:</w:t>
      </w:r>
      <w:r>
        <w:t xml:space="preserve"> </w:t>
      </w:r>
      <w:r>
        <w:rPr>
          <w:bCs/>
          <w:b/>
        </w:rPr>
        <w:t xml:space="preserve">Activity Data × Emission Factor = CO2e</w:t>
      </w:r>
      <w:r>
        <w:t xml:space="preserve">. The calculations below utilize the illustrative data and emission factors described in the previous section.</w:t>
      </w:r>
    </w:p>
    <w:p>
      <w:pPr>
        <w:pStyle w:val="BodyText"/>
      </w:pPr>
      <w:r>
        <w:t xml:space="preserve">The total Product Carbon Footprint (PCF) for</w:t>
      </w:r>
      <w:r>
        <w:t xml:space="preserve"> </w:t>
      </w:r>
      <w:r>
        <w:rPr>
          <w:bCs/>
          <w:b/>
        </w:rPr>
        <w:t xml:space="preserve">vnuihnizle</w:t>
      </w:r>
      <w:r>
        <w:t xml:space="preserve"> </w:t>
      </w:r>
      <w:r>
        <w:t xml:space="preserve">is estimated through a lifecycle assessment, categorizing emissions according to the GHG Protocol.</w:t>
      </w:r>
    </w:p>
    <w:bookmarkStart w:id="36" w:name="scope-1-emissions-direct-emissions"/>
    <w:p>
      <w:pPr>
        <w:pStyle w:val="Heading3"/>
      </w:pPr>
      <w:r>
        <w:t xml:space="preserve">4.1. Scope 1 Emissions (Direct Emissions)</w:t>
      </w:r>
    </w:p>
    <w:p>
      <w:pPr>
        <w:pStyle w:val="FirstParagraph"/>
      </w:pPr>
      <w:r>
        <w:t xml:space="preserve">For a product-level assessment primarily focused on the supply chain and lifecycle, direct Scope 1 emissions from manufacturing facilities are typically minimal and often captured at the corporate level. Assuming efficient production processes for</w:t>
      </w:r>
      <w:r>
        <w:t xml:space="preserve"> </w:t>
      </w:r>
      <w:r>
        <w:rPr>
          <w:bCs/>
          <w:b/>
        </w:rPr>
        <w:t xml:space="preserve">vnuihnizle</w:t>
      </w:r>
      <w:r>
        <w:t xml:space="preserve"> </w:t>
      </w:r>
      <w:r>
        <w:t xml:space="preserve">and no significant direct on-site fuel combustion solely attributable to a single unit, Scope 1 emissions at the product level are considered negligible for this illustrative analysis. However, in a full corporate inventory, these would include emissions from owned vehicles, facilities, and processes.</w:t>
      </w:r>
    </w:p>
    <w:p>
      <w:pPr>
        <w:pStyle w:val="BodyText"/>
      </w:pPr>
      <w:r>
        <w:rPr>
          <w:bCs/>
          <w:b/>
        </w:rPr>
        <w:t xml:space="preserve">Illustrative Scope 1 Emissions:</w:t>
      </w:r>
      <w:r>
        <w:t xml:space="preserve"> </w:t>
      </w:r>
      <w:r>
        <w:t xml:space="preserve">0.00 kgCO2e</w:t>
      </w:r>
    </w:p>
    <w:bookmarkEnd w:id="36"/>
    <w:bookmarkStart w:id="37"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of</w:t>
      </w:r>
      <w:r>
        <w:t xml:space="preserve"> </w:t>
      </w:r>
      <w:r>
        <w:rPr>
          <w:bCs/>
          <w:b/>
        </w:rPr>
        <w:t xml:space="preserve">vnuihnizle</w:t>
      </w:r>
      <w:r>
        <w:t xml:space="preserve"> </w:t>
      </w:r>
      <w:r>
        <w:t xml:space="preserve">in China.</w:t>
      </w:r>
    </w:p>
    <w:p>
      <w:pPr>
        <w:numPr>
          <w:ilvl w:val="0"/>
          <w:numId w:val="1012"/>
        </w:numPr>
        <w:pStyle w:val="Compact"/>
      </w:pPr>
      <w:r>
        <w:t xml:space="preserve">Energy Intensity: 2 kWh/unit (illustrative `fhtolfdusx`)</w:t>
      </w:r>
    </w:p>
    <w:p>
      <w:pPr>
        <w:numPr>
          <w:ilvl w:val="0"/>
          <w:numId w:val="1012"/>
        </w:numPr>
        <w:pStyle w:val="Compact"/>
      </w:pPr>
      <w:r>
        <w:t xml:space="preserve">Renewable Energy Usage: 50% (illustrative `nvrwvrtohk`)</w:t>
      </w:r>
    </w:p>
    <w:p>
      <w:pPr>
        <w:numPr>
          <w:ilvl w:val="0"/>
          <w:numId w:val="1012"/>
        </w:numPr>
        <w:pStyle w:val="Compact"/>
      </w:pPr>
      <w:r>
        <w:t xml:space="preserve">Non-renewable energy from grid: 2 kWh/unit * (1 - 0.50) = 1 kWh/unit</w:t>
      </w:r>
    </w:p>
    <w:p>
      <w:pPr>
        <w:numPr>
          <w:ilvl w:val="0"/>
          <w:numId w:val="1012"/>
        </w:numPr>
        <w:pStyle w:val="Compact"/>
      </w:pPr>
      <w:r>
        <w:t xml:space="preserve">China Grid Emission Factor: 0.58 kgCO2e/kWh (illustrative)</w:t>
      </w:r>
    </w:p>
    <w:p>
      <w:pPr>
        <w:numPr>
          <w:ilvl w:val="0"/>
          <w:numId w:val="1012"/>
        </w:numPr>
        <w:pStyle w:val="Compact"/>
      </w:pPr>
      <w:r>
        <w:rPr>
          <w:bCs/>
          <w:b/>
        </w:rPr>
        <w:t xml:space="preserve">Calculation:</w:t>
      </w:r>
      <w:r>
        <w:t xml:space="preserve"> </w:t>
      </w:r>
      <w:r>
        <w:t xml:space="preserve">1 kWh/unit * 0.58 kgCO2e/kWh = 0.58 kgCO2e</w:t>
      </w:r>
    </w:p>
    <w:p>
      <w:pPr>
        <w:pStyle w:val="FirstParagraph"/>
      </w:pPr>
      <w:r>
        <w:rPr>
          <w:bCs/>
          <w:b/>
        </w:rPr>
        <w:t xml:space="preserve">Illustrative Scope 2 Emissions:</w:t>
      </w:r>
      <w:r>
        <w:t xml:space="preserve"> </w:t>
      </w:r>
      <w:r>
        <w:t xml:space="preserve">0.58 kgCO2e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represent the largest portion of a product\'s carbon footprint, covering both upstream and downstream activities. Compliance with the 95% coverage rule for Scope 3 (as per 2026 updates) has guided the breadth of this analysis.</w:t>
      </w:r>
    </w:p>
    <w:bookmarkStart w:id="38"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for</w:t>
      </w:r>
      <w:r>
        <w:t xml:space="preserve"> </w:t>
      </w:r>
      <w:r>
        <w:rPr>
          <w:bCs/>
          <w:b/>
        </w:rPr>
        <w:t xml:space="preserve">vnuihnizle</w:t>
      </w:r>
      <w:r>
        <w:t xml:space="preserve">.</w:t>
      </w:r>
    </w:p>
    <w:p>
      <w:pPr>
        <w:numPr>
          <w:ilvl w:val="0"/>
          <w:numId w:val="1013"/>
        </w:numPr>
        <w:pStyle w:val="Compact"/>
      </w:pPr>
      <w:r>
        <w:t xml:space="preserve">Based on the illustrative BOM (yejxoqmk) "Total Carbon" sum: 10.25 kgCO2e</w:t>
      </w:r>
    </w:p>
    <w:p>
      <w:pPr>
        <w:pStyle w:val="FirstParagraph"/>
      </w:pPr>
      <w:r>
        <w:rPr>
          <w:bCs/>
          <w:b/>
        </w:rPr>
        <w:t xml:space="preserve">Illustrative Scope 3, Cat. 1 Emissions:</w:t>
      </w:r>
      <w:r>
        <w:t xml:space="preserve"> </w:t>
      </w:r>
      <w:r>
        <w:t xml:space="preserve">10.25 kgCO2e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Focused) to the manufacturing facility in China.</w:t>
      </w:r>
    </w:p>
    <w:p>
      <w:pPr>
        <w:numPr>
          <w:ilvl w:val="0"/>
          <w:numId w:val="1014"/>
        </w:numPr>
        <w:pStyle w:val="Compact"/>
      </w:pPr>
      <w:r>
        <w:t xml:space="preserve">Product Weight (for calculation): 1 kg (illustrative for 1 unit of vnuihnizle)</w:t>
      </w:r>
    </w:p>
    <w:p>
      <w:pPr>
        <w:numPr>
          <w:ilvl w:val="0"/>
          <w:numId w:val="1014"/>
        </w:numPr>
        <w:pStyle w:val="Compact"/>
      </w:pPr>
      <w:r>
        <w:t xml:space="preserve">Transport Mode: Road Freight - Long Haul (illustrative `Select Mode`)</w:t>
      </w:r>
    </w:p>
    <w:p>
      <w:pPr>
        <w:numPr>
          <w:ilvl w:val="0"/>
          <w:numId w:val="1014"/>
        </w:numPr>
        <w:pStyle w:val="Compact"/>
      </w:pPr>
      <w:r>
        <w:t xml:space="preserve">Transport Distance: 2000 km (illustrative `nymkpoggwn`)</w:t>
      </w:r>
    </w:p>
    <w:p>
      <w:pPr>
        <w:numPr>
          <w:ilvl w:val="0"/>
          <w:numId w:val="1014"/>
        </w:numPr>
        <w:pStyle w:val="Compact"/>
      </w:pPr>
      <w:r>
        <w:t xml:space="preserve">Road Freight Emission Factor: 0.09 kgCO2e/tkm (0.00009 kgCO2e/kg.km) (illustrative)</w:t>
      </w:r>
    </w:p>
    <w:p>
      <w:pPr>
        <w:numPr>
          <w:ilvl w:val="0"/>
          <w:numId w:val="1014"/>
        </w:numPr>
        <w:pStyle w:val="Compact"/>
      </w:pPr>
      <w:r>
        <w:rPr>
          <w:bCs/>
          <w:b/>
        </w:rPr>
        <w:t xml:space="preserve">Calculation:</w:t>
      </w:r>
      <w:r>
        <w:t xml:space="preserve"> </w:t>
      </w:r>
      <w:r>
        <w:t xml:space="preserve">1 kg * 2000 km * 0.00009 kgCO2e/kg.km = 0.18 kgCO2e</w:t>
      </w:r>
    </w:p>
    <w:p>
      <w:pPr>
        <w:pStyle w:val="FirstParagraph"/>
      </w:pPr>
      <w:r>
        <w:rPr>
          <w:bCs/>
          <w:b/>
        </w:rPr>
        <w:t xml:space="preserve">Illustrative Scope 3, Cat. 4 Emissions:</w:t>
      </w:r>
      <w:r>
        <w:t xml:space="preserve"> </w:t>
      </w:r>
      <w:r>
        <w:t xml:space="preserve">0.18 kgCO2e</w:t>
      </w:r>
    </w:p>
    <w:bookmarkEnd w:id="39"/>
    <w:bookmarkStart w:id="40" w:name="X5b70aafc99c239c9cc973ef0b16df8b4bae845d"/>
    <w:p>
      <w:pPr>
        <w:pStyle w:val="Heading4"/>
      </w:pPr>
      <w:r>
        <w:t xml:space="preserve">4.3.3. Category 9: Downstream Transportation and Distribution (Last-Mile)</w:t>
      </w:r>
    </w:p>
    <w:p>
      <w:pPr>
        <w:pStyle w:val="FirstParagraph"/>
      </w:pPr>
      <w:r>
        <w:t xml:space="preserve">Emissions from transporting the finished product from the factory to the end-customer.</w:t>
      </w:r>
    </w:p>
    <w:p>
      <w:pPr>
        <w:numPr>
          <w:ilvl w:val="0"/>
          <w:numId w:val="1015"/>
        </w:numPr>
        <w:pStyle w:val="Compact"/>
      </w:pPr>
      <w:r>
        <w:t xml:space="preserve">Product Weight (for calculation): 1 kg (illustrative for 1 unit of vnuihnizle)</w:t>
      </w:r>
    </w:p>
    <w:p>
      <w:pPr>
        <w:numPr>
          <w:ilvl w:val="0"/>
          <w:numId w:val="1015"/>
        </w:numPr>
        <w:pStyle w:val="Compact"/>
      </w:pPr>
      <w:r>
        <w:t xml:space="preserve">Delivery Channel: Last-Mile Van Delivery (illustrative `Delivery Type`)</w:t>
      </w:r>
    </w:p>
    <w:p>
      <w:pPr>
        <w:numPr>
          <w:ilvl w:val="0"/>
          <w:numId w:val="1015"/>
        </w:numPr>
        <w:pStyle w:val="Compact"/>
      </w:pPr>
      <w:r>
        <w:t xml:space="preserve">Transport Distance: 500 km (illustrative)</w:t>
      </w:r>
    </w:p>
    <w:p>
      <w:pPr>
        <w:numPr>
          <w:ilvl w:val="0"/>
          <w:numId w:val="1015"/>
        </w:numPr>
        <w:pStyle w:val="Compact"/>
      </w:pPr>
      <w:r>
        <w:t xml:space="preserve">Last-Mile Emission Factor: 0.15 kgCO2e/tkm (0.00015 kgCO2e/kg.km) (illustrative)</w:t>
      </w:r>
    </w:p>
    <w:p>
      <w:pPr>
        <w:numPr>
          <w:ilvl w:val="0"/>
          <w:numId w:val="1015"/>
        </w:numPr>
        <w:pStyle w:val="Compact"/>
      </w:pPr>
      <w:r>
        <w:rPr>
          <w:bCs/>
          <w:b/>
        </w:rPr>
        <w:t xml:space="preserve">Calculation:</w:t>
      </w:r>
      <w:r>
        <w:t xml:space="preserve"> </w:t>
      </w:r>
      <w:r>
        <w:t xml:space="preserve">1 kg * 500 km * 0.00015 kgCO2e/kg.km = 0.075 kgCO2e</w:t>
      </w:r>
    </w:p>
    <w:p>
      <w:pPr>
        <w:pStyle w:val="FirstParagraph"/>
      </w:pPr>
      <w:r>
        <w:rPr>
          <w:bCs/>
          <w:b/>
        </w:rPr>
        <w:t xml:space="preserve">Illustrative Scope 3, Cat. 9 Emissions:</w:t>
      </w:r>
      <w:r>
        <w:t xml:space="preserve"> </w:t>
      </w:r>
      <w:r>
        <w:t xml:space="preserve">0.075 kgCO2e</w:t>
      </w:r>
    </w:p>
    <w:bookmarkEnd w:id="40"/>
    <w:bookmarkStart w:id="41" w:name="category-11-use-of-sold-products"/>
    <w:p>
      <w:pPr>
        <w:pStyle w:val="Heading4"/>
      </w:pPr>
      <w:r>
        <w:t xml:space="preserve">4.3.4. Category 11: Use of Sold Products</w:t>
      </w:r>
    </w:p>
    <w:p>
      <w:pPr>
        <w:pStyle w:val="FirstParagraph"/>
      </w:pPr>
      <w:r>
        <w:t xml:space="preserve">Emissions generated from the energy consumption during the product\'s lifespan.</w:t>
      </w:r>
    </w:p>
    <w:p>
      <w:pPr>
        <w:numPr>
          <w:ilvl w:val="0"/>
          <w:numId w:val="1016"/>
        </w:numPr>
        <w:pStyle w:val="Compact"/>
      </w:pPr>
      <w:r>
        <w:t xml:space="preserve">Product Lifespan: 5 years (illustrative `jvlghokhpp`)</w:t>
      </w:r>
    </w:p>
    <w:p>
      <w:pPr>
        <w:numPr>
          <w:ilvl w:val="0"/>
          <w:numId w:val="1016"/>
        </w:numPr>
        <w:pStyle w:val="Compact"/>
      </w:pPr>
      <w:r>
        <w:t xml:space="preserve">Energy Consumption in Use: 10 kWh/year (illustrative `tzknifxxml`)</w:t>
      </w:r>
    </w:p>
    <w:p>
      <w:pPr>
        <w:numPr>
          <w:ilvl w:val="0"/>
          <w:numId w:val="1016"/>
        </w:numPr>
        <w:pStyle w:val="Compact"/>
      </w:pPr>
      <w:r>
        <w:t xml:space="preserve">Total Energy Consumption: 5 years * 10 kWh/year = 50 kWh</w:t>
      </w:r>
    </w:p>
    <w:p>
      <w:pPr>
        <w:numPr>
          <w:ilvl w:val="0"/>
          <w:numId w:val="1016"/>
        </w:numPr>
        <w:pStyle w:val="Compact"/>
      </w:pPr>
      <w:r>
        <w:t xml:space="preserve">European Grid Emission Factor: 0.25 kgCO2e/kWh (illustrative)</w:t>
      </w:r>
    </w:p>
    <w:p>
      <w:pPr>
        <w:numPr>
          <w:ilvl w:val="0"/>
          <w:numId w:val="1016"/>
        </w:numPr>
        <w:pStyle w:val="Compact"/>
      </w:pPr>
      <w:r>
        <w:rPr>
          <w:bCs/>
          <w:b/>
        </w:rPr>
        <w:t xml:space="preserve">Calculation:</w:t>
      </w:r>
      <w:r>
        <w:t xml:space="preserve"> </w:t>
      </w:r>
      <w:r>
        <w:t xml:space="preserve">50 kWh * 0.25 kgCO2e/kWh = 12.50 kgCO2e</w:t>
      </w:r>
    </w:p>
    <w:p>
      <w:pPr>
        <w:pStyle w:val="FirstParagraph"/>
      </w:pPr>
      <w:r>
        <w:rPr>
          <w:bCs/>
          <w:b/>
        </w:rPr>
        <w:t xml:space="preserve">Illustrative Scope 3, Cat. 11 Emissions:</w:t>
      </w:r>
      <w:r>
        <w:t xml:space="preserve"> </w:t>
      </w:r>
      <w:r>
        <w:t xml:space="preserve">12.50 kgCO2e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potential avoided emissions from the disposal and recycling of the product.</w:t>
      </w:r>
    </w:p>
    <w:p>
      <w:pPr>
        <w:numPr>
          <w:ilvl w:val="0"/>
          <w:numId w:val="1017"/>
        </w:numPr>
        <w:pStyle w:val="Compact"/>
      </w:pPr>
      <w:r>
        <w:t xml:space="preserve">Product Weight (for calculation): 1 kg (illustrative)</w:t>
      </w:r>
    </w:p>
    <w:p>
      <w:pPr>
        <w:numPr>
          <w:ilvl w:val="0"/>
          <w:numId w:val="1017"/>
        </w:numPr>
        <w:pStyle w:val="Compact"/>
      </w:pPr>
      <w:r>
        <w:t xml:space="preserve">Recyclability Percentage: 70% (illustrative `qxldqlzhys`)</w:t>
      </w:r>
    </w:p>
    <w:p>
      <w:pPr>
        <w:numPr>
          <w:ilvl w:val="0"/>
          <w:numId w:val="1017"/>
        </w:numPr>
        <w:pStyle w:val="Compact"/>
      </w:pPr>
      <w:r>
        <w:t xml:space="preserve">Non-recyclable portion: 1 kg * (1 - 0.70) = 0.3 kg (assumed to be sent to landfill)</w:t>
      </w:r>
    </w:p>
    <w:p>
      <w:pPr>
        <w:numPr>
          <w:ilvl w:val="0"/>
          <w:numId w:val="1017"/>
        </w:numPr>
        <w:pStyle w:val="Compact"/>
      </w:pPr>
      <w:r>
        <w:t xml:space="preserve">Landfill Emission Factor (mixed waste): 1.0 kgCO2e/kg (illustrative)</w:t>
      </w:r>
    </w:p>
    <w:p>
      <w:pPr>
        <w:numPr>
          <w:ilvl w:val="0"/>
          <w:numId w:val="1017"/>
        </w:numPr>
        <w:pStyle w:val="Compact"/>
      </w:pPr>
      <w:r>
        <w:t xml:space="preserve">Recycled portion: 1 kg * 0.70 = 0.7 kg</w:t>
      </w:r>
    </w:p>
    <w:p>
      <w:pPr>
        <w:numPr>
          <w:ilvl w:val="0"/>
          <w:numId w:val="1017"/>
        </w:numPr>
        <w:pStyle w:val="Compact"/>
      </w:pPr>
      <w:r>
        <w:t xml:space="preserve">Avoided Emissions from Recycling (e.g., metals): -3.0 kgCO2e/kg for recycled content replacing virgin (illustrative average based on BOM materials, e.g., aluminium).</w:t>
      </w:r>
    </w:p>
    <w:p>
      <w:pPr>
        <w:numPr>
          <w:ilvl w:val="0"/>
          <w:numId w:val="1017"/>
        </w:numPr>
        <w:pStyle w:val="Compact"/>
      </w:pPr>
      <w:r>
        <w:rPr>
          <w:bCs/>
          <w:b/>
        </w:rPr>
        <w:t xml:space="preserve">Calculation for Landfill:</w:t>
      </w:r>
      <w:r>
        <w:t xml:space="preserve"> </w:t>
      </w:r>
      <w:r>
        <w:t xml:space="preserve">0.3 kg * 1.0 kgCO2e/kg = 0.30 kgCO2e</w:t>
      </w:r>
    </w:p>
    <w:p>
      <w:pPr>
        <w:numPr>
          <w:ilvl w:val="0"/>
          <w:numId w:val="1017"/>
        </w:numPr>
        <w:pStyle w:val="Compact"/>
      </w:pPr>
      <w:r>
        <w:rPr>
          <w:bCs/>
          <w:b/>
        </w:rPr>
        <w:t xml:space="preserve">Calculation for Recycling Credit:</w:t>
      </w:r>
      <w:r>
        <w:t xml:space="preserve"> </w:t>
      </w:r>
      <w:r>
        <w:t xml:space="preserve">0.7 kg * -3.0 kgCO2e/kg = -2.10 kgCO2e</w:t>
      </w:r>
    </w:p>
    <w:p>
      <w:pPr>
        <w:numPr>
          <w:ilvl w:val="0"/>
          <w:numId w:val="1017"/>
        </w:numPr>
        <w:pStyle w:val="Compact"/>
      </w:pPr>
      <w:r>
        <w:rPr>
          <w:bCs/>
          <w:b/>
        </w:rPr>
        <w:t xml:space="preserve">Net EoL Emissions:</w:t>
      </w:r>
      <w:r>
        <w:t xml:space="preserve"> </w:t>
      </w:r>
      <w:r>
        <w:t xml:space="preserve">0.30 kgCO2e - 2.10 kgCO2e = -1.80 kgCO2e (a net removal/credit due to recycling benefits)</w:t>
      </w:r>
    </w:p>
    <w:p>
      <w:pPr>
        <w:pStyle w:val="FirstParagraph"/>
      </w:pPr>
      <w:r>
        <w:t xml:space="preserve">The existence of</w:t>
      </w:r>
      <w:r>
        <w:t xml:space="preserve"> </w:t>
      </w:r>
      <w:r>
        <w:rPr>
          <w:bCs/>
          <w:b/>
        </w:rPr>
        <w:t xml:space="preserve">Circular/Take-back Programs (ledskrjnee)</w:t>
      </w:r>
      <w:r>
        <w:t xml:space="preserve"> </w:t>
      </w:r>
      <w:r>
        <w:t xml:space="preserve">further reinforces the potential for material recovery and avoided emissions, actively promoting a circular economy.</w:t>
      </w:r>
    </w:p>
    <w:p>
      <w:pPr>
        <w:pStyle w:val="BodyText"/>
      </w:pPr>
      <w:r>
        <w:rPr>
          <w:bCs/>
          <w:b/>
        </w:rPr>
        <w:t xml:space="preserve">Illustrative Scope 3, Cat. 12 Emissions:</w:t>
      </w:r>
      <w:r>
        <w:t xml:space="preserve"> </w:t>
      </w:r>
      <w:r>
        <w:t xml:space="preserve">-1.80 kgCO2e</w:t>
      </w:r>
    </w:p>
    <w:bookmarkEnd w:id="42"/>
    <w:bookmarkEnd w:id="43"/>
    <w:bookmarkStart w:id="44" w:name="application-of-2026-lsr-standard"/>
    <w:p>
      <w:pPr>
        <w:pStyle w:val="Heading3"/>
      </w:pPr>
      <w:r>
        <w:t xml:space="preserve">4.4. Application of 2026 LSR Standard</w:t>
      </w:r>
    </w:p>
    <w:p>
      <w:pPr>
        <w:pStyle w:val="FirstParagraph"/>
      </w:pPr>
      <w:r>
        <w:t xml:space="preserve">The 2026 Land Sector and Removals (LSR) Standard is particularly relevant if materials in the BOM (yejxoqmk) originate from agricultural or forestry activities, or if there are specific carbon removal technologies involved. For this illustrative analysis, assuming MAT005 (Packaging) has a biogenic origin, its emissions from land use change would be accounted for, and any certified carbon removals associated with its production or end-of-life management (e.g., sustainable forestry for virgin paper content, if any) would be tracked. The standard enables quantifying CO₂ removals and emissions from biogenic products.</w:t>
      </w:r>
    </w:p>
    <w:p>
      <w:pPr>
        <w:pStyle w:val="BodyText"/>
      </w:pPr>
      <w:r>
        <w:t xml:space="preserve">In this illustrative example, the avoided emissions from recycling in Category 12 can be viewed as a form of carbon removal credit, as it reduces the demand for virgin materials and thus their associated land-intensive extraction and processing.</w:t>
      </w:r>
    </w:p>
    <w:bookmarkEnd w:id="44"/>
    <w:bookmarkStart w:id="45" w:name="X6f8794c1cd9ecdf749a415298bf5b66a2ad3874"/>
    <w:p>
      <w:pPr>
        <w:pStyle w:val="Heading3"/>
      </w:pPr>
      <w:r>
        <w:t xml:space="preserve">4.5. Summary of Illustrative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Illustrative Emissions (kgCO2e per unit)</w:t>
            </w:r>
          </w:p>
        </w:tc>
        <w:tc>
          <w:tcPr/>
          <w:p>
            <w:pPr>
              <w:pStyle w:val="Compact"/>
              <w:jc w:val="left"/>
            </w:pPr>
            <w:r>
              <w:t xml:space="preserve">GHG Scope Classification</w:t>
            </w:r>
          </w:p>
        </w:tc>
      </w:tr>
      <w:tr>
        <w:tc>
          <w:tcPr/>
          <w:p>
            <w:pPr>
              <w:pStyle w:val="Compact"/>
              <w:jc w:val="left"/>
            </w:pPr>
            <w:r>
              <w:t xml:space="preserve">Manufacturing (Scope 1 Direct)</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Manufacturing (Scope 2 Purchased Electricity)</w:t>
            </w:r>
          </w:p>
        </w:tc>
        <w:tc>
          <w:tcPr/>
          <w:p>
            <w:pPr>
              <w:pStyle w:val="Compact"/>
              <w:jc w:val="left"/>
            </w:pPr>
            <w:r>
              <w:t xml:space="preserve">0.58</w:t>
            </w:r>
          </w:p>
        </w:tc>
        <w:tc>
          <w:tcPr/>
          <w:p>
            <w:pPr>
              <w:pStyle w:val="Compact"/>
              <w:jc w:val="left"/>
            </w:pPr>
            <w:r>
              <w:t xml:space="preserve">Scope 2</w:t>
            </w:r>
          </w:p>
        </w:tc>
      </w:tr>
      <w:tr>
        <w:tc>
          <w:tcPr/>
          <w:p>
            <w:pPr>
              <w:pStyle w:val="Compact"/>
              <w:jc w:val="left"/>
            </w:pPr>
            <w:r>
              <w:t xml:space="preserve">Materials (Purchased Goods &amp; Services)</w:t>
            </w:r>
          </w:p>
        </w:tc>
        <w:tc>
          <w:tcPr/>
          <w:p>
            <w:pPr>
              <w:pStyle w:val="Compact"/>
              <w:jc w:val="left"/>
            </w:pPr>
            <w:r>
              <w:t xml:space="preserve">10.25</w:t>
            </w:r>
          </w:p>
        </w:tc>
        <w:tc>
          <w:tcPr/>
          <w:p>
            <w:pPr>
              <w:pStyle w:val="Compact"/>
              <w:jc w:val="left"/>
            </w:pPr>
            <w:r>
              <w:t xml:space="preserve">Scope 3, Cat. 1</w:t>
            </w:r>
          </w:p>
        </w:tc>
      </w:tr>
      <w:tr>
        <w:tc>
          <w:tcPr/>
          <w:p>
            <w:pPr>
              <w:pStyle w:val="Compact"/>
              <w:jc w:val="left"/>
            </w:pPr>
            <w:r>
              <w:t xml:space="preserve">Upstream Transportation</w:t>
            </w:r>
          </w:p>
        </w:tc>
        <w:tc>
          <w:tcPr/>
          <w:p>
            <w:pPr>
              <w:pStyle w:val="Compact"/>
              <w:jc w:val="left"/>
            </w:pPr>
            <w:r>
              <w:t xml:space="preserve">0.18</w:t>
            </w:r>
          </w:p>
        </w:tc>
        <w:tc>
          <w:tcPr/>
          <w:p>
            <w:pPr>
              <w:pStyle w:val="Compact"/>
              <w:jc w:val="left"/>
            </w:pPr>
            <w:r>
              <w:t xml:space="preserve">Scope 3, Cat. 4</w:t>
            </w:r>
          </w:p>
        </w:tc>
      </w:tr>
      <w:tr>
        <w:tc>
          <w:tcPr/>
          <w:p>
            <w:pPr>
              <w:pStyle w:val="Compact"/>
              <w:jc w:val="left"/>
            </w:pPr>
            <w:r>
              <w:t xml:space="preserve">Downstream Transportation (Last-Mile)</w:t>
            </w:r>
          </w:p>
        </w:tc>
        <w:tc>
          <w:tcPr/>
          <w:p>
            <w:pPr>
              <w:pStyle w:val="Compact"/>
              <w:jc w:val="left"/>
            </w:pPr>
            <w:r>
              <w:t xml:space="preserve">0.075</w:t>
            </w:r>
          </w:p>
        </w:tc>
        <w:tc>
          <w:tcPr/>
          <w:p>
            <w:pPr>
              <w:pStyle w:val="Compact"/>
              <w:jc w:val="left"/>
            </w:pPr>
            <w:r>
              <w:t xml:space="preserve">Scope 3, Cat. 9</w:t>
            </w:r>
          </w:p>
        </w:tc>
      </w:tr>
      <w:tr>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Scope 3, Cat. 11</w:t>
            </w:r>
          </w:p>
        </w:tc>
      </w:tr>
      <w:tr>
        <w:tc>
          <w:tcPr/>
          <w:p>
            <w:pPr>
              <w:pStyle w:val="Compact"/>
              <w:jc w:val="left"/>
            </w:pPr>
            <w:r>
              <w:t xml:space="preserve">End-of-Life Treatment</w:t>
            </w:r>
          </w:p>
        </w:tc>
        <w:tc>
          <w:tcPr/>
          <w:p>
            <w:pPr>
              <w:pStyle w:val="Compact"/>
              <w:jc w:val="left"/>
            </w:pPr>
            <w:r>
              <w:t xml:space="preserve">-1.80</w:t>
            </w:r>
          </w:p>
        </w:tc>
        <w:tc>
          <w:tcPr/>
          <w:p>
            <w:pPr>
              <w:pStyle w:val="Compact"/>
              <w:jc w:val="left"/>
            </w:pPr>
            <w:r>
              <w:t xml:space="preserve">Scope 3, Cat. 12</w:t>
            </w:r>
          </w:p>
        </w:tc>
      </w:tr>
      <w:tr>
        <w:tc>
          <w:tcPr>
            <w:gridSpan w:val="2"/>
          </w:tcPr>
          <w:p>
            <w:pPr>
              <w:pStyle w:val="Compact"/>
              <w:jc w:val="right"/>
            </w:pPr>
            <w:r>
              <w:rPr>
                <w:bCs/>
                <w:b/>
              </w:rPr>
              <w:t xml:space="preserve">Total Illustrative Product Carbon Footprint (kgCO2e):</w:t>
            </w:r>
          </w:p>
        </w:tc>
        <w:tc>
          <w:tcPr/>
          <w:p>
            <w:pPr>
              <w:pStyle w:val="Compact"/>
              <w:jc w:val="left"/>
            </w:pPr>
            <w:r>
              <w:rPr>
                <w:bCs/>
                <w:b/>
              </w:rPr>
              <w:t xml:space="preserve">21.785</w:t>
            </w:r>
          </w:p>
        </w:tc>
      </w:tr>
    </w:tbl>
    <w:p>
      <w:pPr>
        <w:pStyle w:val="BodyText"/>
      </w:pPr>
      <w:r>
        <w:rPr>
          <w:iCs/>
          <w:i/>
        </w:rPr>
        <w:t xml:space="preserve">Note: All figures are illustrative and based on assumed parameters and generic emission factors. Actual PCF would require primary data and specific emission factors from recognized databases (e.g., Ecoinvent/DEFRA).</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This final section summarizes the findings, identifies hotspots, and provides insights into the reliability of the assessment based on the available data.</w:t>
      </w:r>
    </w:p>
    <w:bookmarkStart w:id="47" w:name="key-hotspots"/>
    <w:p>
      <w:pPr>
        <w:pStyle w:val="Heading3"/>
      </w:pPr>
      <w:r>
        <w:t xml:space="preserve">5.1. Key Hotspots</w:t>
      </w:r>
    </w:p>
    <w:p>
      <w:pPr>
        <w:pStyle w:val="FirstParagraph"/>
      </w:pPr>
      <w:r>
        <w:t xml:space="preserve">Based on the illustrative calculations for</w:t>
      </w:r>
      <w:r>
        <w:t xml:space="preserve"> </w:t>
      </w:r>
      <w:r>
        <w:rPr>
          <w:bCs/>
          <w:b/>
        </w:rPr>
        <w:t xml:space="preserve">vnuihnizle</w:t>
      </w:r>
      <w:r>
        <w:t xml:space="preserve">, the primary emission hotspots are identified as:</w:t>
      </w:r>
    </w:p>
    <w:p>
      <w:pPr>
        <w:numPr>
          <w:ilvl w:val="0"/>
          <w:numId w:val="1018"/>
        </w:numPr>
        <w:pStyle w:val="Compact"/>
      </w:pPr>
      <w:r>
        <w:rPr>
          <w:bCs/>
          <w:b/>
        </w:rPr>
        <w:t xml:space="preserve">Use Phase (Scope 3, Category 11):</w:t>
      </w:r>
      <w:r>
        <w:t xml:space="preserve"> </w:t>
      </w:r>
      <w:r>
        <w:t xml:space="preserve">This stage accounts for a significant portion of the total PCF, largely due to the assumed energy consumption over the product\'s lifespan. Strategies to reduce energy demand during use or improve energy efficiency are critical.</w:t>
      </w:r>
    </w:p>
    <w:p>
      <w:pPr>
        <w:numPr>
          <w:ilvl w:val="0"/>
          <w:numId w:val="1018"/>
        </w:numPr>
        <w:pStyle w:val="Compact"/>
      </w:pPr>
      <w:r>
        <w:rPr>
          <w:bCs/>
          <w:b/>
        </w:rPr>
        <w:t xml:space="preserve">Materials (Scope 3, Category 1):</w:t>
      </w:r>
      <w:r>
        <w:t xml:space="preserve"> </w:t>
      </w:r>
      <w:r>
        <w:t xml:space="preserve">The extraction and production of raw materials, particularly virgin metals (e.g., aluminum), contribute substantially to the upstream footprint. Prioritizing recycled content and lower-impact materials is crucial.</w:t>
      </w:r>
    </w:p>
    <w:bookmarkEnd w:id="47"/>
    <w:bookmarkStart w:id="48" w:name="reliability-and-limitations"/>
    <w:p>
      <w:pPr>
        <w:pStyle w:val="Heading3"/>
      </w:pPr>
      <w:r>
        <w:t xml:space="preserve">5.2. Reliability and Limitations</w:t>
      </w:r>
    </w:p>
    <w:p>
      <w:pPr>
        <w:pStyle w:val="FirstParagraph"/>
      </w:pPr>
      <w:r>
        <w:t xml:space="preserve">The reliability of this PCF analysis is directly dependent on the quality and specificity of the input data.</w:t>
      </w:r>
    </w:p>
    <w:p>
      <w:pPr>
        <w:numPr>
          <w:ilvl w:val="0"/>
          <w:numId w:val="1019"/>
        </w:numPr>
        <w:pStyle w:val="Compact"/>
      </w:pPr>
      <w:r>
        <w:rPr>
          <w:bCs/>
          <w:b/>
        </w:rPr>
        <w:t xml:space="preserve">Data Inputs:</w:t>
      </w:r>
      <w:r>
        <w:t xml:space="preserve"> </w:t>
      </w:r>
      <w:r>
        <w:t xml:space="preserve">This report relies heavily on illustrative numerical values for key parameters (e.g., `nymkpoggwn`, `fhtolfdusx`, `nvrwvrtohk`, `jvlghokhpp`, `tzknifxxml`, `qxldqlzhys`, and the parsed `yejxoqmk` BOM data). For a precise, auditable PCF, primary, verified data for each of these parameters is essential.</w:t>
      </w:r>
    </w:p>
    <w:p>
      <w:pPr>
        <w:numPr>
          <w:ilvl w:val="0"/>
          <w:numId w:val="1019"/>
        </w:numPr>
        <w:pStyle w:val="Compact"/>
      </w:pPr>
      <w:r>
        <w:rPr>
          <w:bCs/>
          <w:b/>
        </w:rPr>
        <w:t xml:space="preserve">Emission Factors:</w:t>
      </w:r>
      <w:r>
        <w:t xml:space="preserve"> </w:t>
      </w:r>
      <w:r>
        <w:t xml:space="preserve">While industry-standard emission factors are conceptually applied, specific Ecoinvent or DEFRA database values were not directly accessible for real-time application. Generic, plausible values have been used for illustration.</w:t>
      </w:r>
    </w:p>
    <w:p>
      <w:pPr>
        <w:numPr>
          <w:ilvl w:val="0"/>
          <w:numId w:val="1019"/>
        </w:numPr>
        <w:pStyle w:val="Compact"/>
      </w:pPr>
      <w:r>
        <w:rPr>
          <w:bCs/>
          <w:b/>
        </w:rPr>
        <w:t xml:space="preserve">System Boundary Interpretation:</w:t>
      </w:r>
      <w:r>
        <w:t xml:space="preserve"> </w:t>
      </w:r>
      <w:r>
        <w:t xml:space="preserve">The reconciliation of the "factory_gate" parameter with the explicit request for "Use Phase" and "End-of-Life" calculations necessitated adopting a modified Cradle-to-Grave approach for comprehensive reporting.</w:t>
      </w:r>
    </w:p>
    <w:p>
      <w:pPr>
        <w:numPr>
          <w:ilvl w:val="0"/>
          <w:numId w:val="1019"/>
        </w:numPr>
        <w:pStyle w:val="Compact"/>
      </w:pPr>
      <w:r>
        <w:rPr>
          <w:bCs/>
          <w:b/>
        </w:rPr>
        <w:t xml:space="preserve">2026 GHG Protocol Updates:</w:t>
      </w:r>
      <w:r>
        <w:t xml:space="preserve"> </w:t>
      </w:r>
      <w:r>
        <w:t xml:space="preserve">The 2026 LSR Standard and the 95% Scope 3 coverage rule are forward-looking. While applied in principle, full compliance requires robust data collection mechanisms and adherence to forthcoming detailed guidance, especially for land-based emissions and removals.</w:t>
      </w:r>
    </w:p>
    <w:bookmarkEnd w:id="48"/>
    <w:bookmarkStart w:id="49" w:name="recommendations-for-further-action"/>
    <w:p>
      <w:pPr>
        <w:pStyle w:val="Heading3"/>
      </w:pPr>
      <w:r>
        <w:t xml:space="preserve">5.3. Recommendations for Further Action</w:t>
      </w:r>
    </w:p>
    <w:p>
      <w:pPr>
        <w:pStyle w:val="FirstParagraph"/>
      </w:pPr>
      <w:r>
        <w:t xml:space="preserve">To enhance the accuracy and reduce the carbon footprint of</w:t>
      </w:r>
      <w:r>
        <w:t xml:space="preserve"> </w:t>
      </w:r>
      <w:r>
        <w:rPr>
          <w:bCs/>
          <w:b/>
        </w:rPr>
        <w:t xml:space="preserve">vnuihnizle</w:t>
      </w:r>
      <w:r>
        <w:t xml:space="preserve">,</w:t>
      </w:r>
      <w:r>
        <w:t xml:space="preserve"> </w:t>
      </w:r>
      <w:r>
        <w:rPr>
          <w:bCs/>
          <w:b/>
        </w:rPr>
        <w:t xml:space="preserve">evlfxtmsms</w:t>
      </w:r>
      <w:r>
        <w:t xml:space="preserve"> </w:t>
      </w:r>
      <w:r>
        <w:t xml:space="preserve">should consider:</w:t>
      </w:r>
    </w:p>
    <w:p>
      <w:pPr>
        <w:numPr>
          <w:ilvl w:val="0"/>
          <w:numId w:val="1020"/>
        </w:numPr>
        <w:pStyle w:val="Compact"/>
      </w:pPr>
      <w:r>
        <w:rPr>
          <w:bCs/>
          <w:b/>
        </w:rPr>
        <w:t xml:space="preserve">Primary Data Collection:</w:t>
      </w:r>
      <w:r>
        <w:t xml:space="preserve"> </w:t>
      </w:r>
      <w:r>
        <w:t xml:space="preserve">Implement robust systems to collect specific primary data for all BOM items, transport logistics (actual modes, distances, load factors), production energy consumption, and real-world product use patterns.</w:t>
      </w:r>
    </w:p>
    <w:p>
      <w:pPr>
        <w:numPr>
          <w:ilvl w:val="0"/>
          <w:numId w:val="1020"/>
        </w:numPr>
        <w:pStyle w:val="Compact"/>
      </w:pPr>
      <w:r>
        <w:rPr>
          <w:bCs/>
          <w:b/>
        </w:rPr>
        <w:t xml:space="preserve">Material Optimization:</w:t>
      </w:r>
      <w:r>
        <w:t xml:space="preserve"> </w:t>
      </w:r>
      <w:r>
        <w:t xml:space="preserve">Explore further opportunities to increase recycled content, switch to lower-impact materials, and work with suppliers on material decarbonization, especially for high-impact components.</w:t>
      </w:r>
    </w:p>
    <w:p>
      <w:pPr>
        <w:numPr>
          <w:ilvl w:val="0"/>
          <w:numId w:val="1020"/>
        </w:numPr>
        <w:pStyle w:val="Compact"/>
      </w:pPr>
      <w:r>
        <w:rPr>
          <w:bCs/>
          <w:b/>
        </w:rPr>
        <w:t xml:space="preserve">Energy Efficiency:</w:t>
      </w:r>
      <w:r>
        <w:t xml:space="preserve"> </w:t>
      </w:r>
      <w:r>
        <w:t xml:space="preserve">Invest in R&amp;D to improve the energy efficiency of</w:t>
      </w:r>
      <w:r>
        <w:t xml:space="preserve"> </w:t>
      </w:r>
      <w:r>
        <w:rPr>
          <w:bCs/>
          <w:b/>
        </w:rPr>
        <w:t xml:space="preserve">vnuihnizle</w:t>
      </w:r>
      <w:r>
        <w:t xml:space="preserve"> </w:t>
      </w:r>
      <w:r>
        <w:t xml:space="preserve">during its use phase, as this is a major hotspot.</w:t>
      </w:r>
    </w:p>
    <w:p>
      <w:pPr>
        <w:numPr>
          <w:ilvl w:val="0"/>
          <w:numId w:val="1020"/>
        </w:numPr>
        <w:pStyle w:val="Compact"/>
      </w:pPr>
      <w:r>
        <w:rPr>
          <w:bCs/>
          <w:b/>
        </w:rPr>
        <w:t xml:space="preserve">Circular Economy Initiatives:</w:t>
      </w:r>
      <w:r>
        <w:t xml:space="preserve"> </w:t>
      </w:r>
      <w:r>
        <w:t xml:space="preserve">Expand and promote circular/take-back programs (ledskrjnee) to maximize recyclability and material recovery, translating into significant avoided emissions credits.</w:t>
      </w:r>
    </w:p>
    <w:p>
      <w:pPr>
        <w:numPr>
          <w:ilvl w:val="0"/>
          <w:numId w:val="1020"/>
        </w:numPr>
        <w:pStyle w:val="Compact"/>
      </w:pPr>
      <w:r>
        <w:rPr>
          <w:bCs/>
          <w:b/>
        </w:rPr>
        <w:t xml:space="preserve">Supplier Engagement:</w:t>
      </w:r>
      <w:r>
        <w:t xml:space="preserve"> </w:t>
      </w:r>
      <w:r>
        <w:t xml:space="preserve">Collaborate with supply chain partners to obtain product-specific environmental data and explore joint reduction initiatives.</w:t>
      </w:r>
    </w:p>
    <w:p>
      <w:pPr>
        <w:numPr>
          <w:ilvl w:val="0"/>
          <w:numId w:val="1020"/>
        </w:numPr>
        <w:pStyle w:val="Compact"/>
      </w:pPr>
      <w:r>
        <w:rPr>
          <w:bCs/>
          <w:b/>
        </w:rPr>
        <w:t xml:space="preserve">GHG Protocol Alignment:</w:t>
      </w:r>
      <w:r>
        <w:t xml:space="preserve"> </w:t>
      </w:r>
      <w:r>
        <w:t xml:space="preserve">Continue to monitor and implement the evolving GHG Protocol standards, particularly the LSR and Scope 3 reporting requirements, to maintain compliance and leadership in sustainability reporting.</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vnuihnizle</dc:title>
  <dc:creator/>
  <dc:description>Detailed Product Carbon Footprint (PCF) analysis report for product vnuihnizle by evlfxtmsms, adhering to GHG Protocol standards and 2026 updates, prepared by Senior Sustainability Consultant dfdjmxnfhr.</dc:description>
  <dc:language>en</dc:language>
  <cp:keywords/>
  <dcterms:created xsi:type="dcterms:W3CDTF">2026-07-15T06:27:23Z</dcterms:created>
  <dcterms:modified xsi:type="dcterms:W3CDTF">2026-07-15T06:27:23Z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