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vnjddkjnjh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vnjddkjnjh</w:t>
      </w:r>
    </w:p>
    <w:p>
      <w:pPr>
        <w:pStyle w:val="BodyText"/>
      </w:pPr>
      <w:r>
        <w:rPr>
          <w:bCs/>
          <w:b/>
        </w:rPr>
        <w:t xml:space="preserve">Company Name:</w:t>
      </w:r>
      <w:r>
        <w:t xml:space="preserve"> </w:t>
      </w:r>
      <w:r>
        <w:t xml:space="preserve">mgsiypiqgv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gdyerpekhx</w:t>
      </w:r>
    </w:p>
    <w:p>
      <w:pPr>
        <w:pStyle w:val="BodyText"/>
      </w:pPr>
      <w:r>
        <w:t xml:space="preserve">Disclaimer: This report is generated based on available data and industry standards, providing an estimate of the product\'s carbon footprint. Accuracy is dependent on the completeness and precision of the input parameters and chosen emission factors.</w:t>
      </w:r>
    </w:p>
    <w:bookmarkEnd w:id="20"/>
    <w:bookmarkStart w:id="21" w:name="Xa87d010c1fd868336511b306fbd202996615f12"/>
    <w:p>
      <w:pPr>
        <w:pStyle w:val="Heading1"/>
      </w:pPr>
      <w:r>
        <w:t xml:space="preserve">Product Carbon Footprint Analysis Report</w:t>
      </w:r>
    </w:p>
    <w:p>
      <w:pPr>
        <w:pStyle w:val="FirstParagraph"/>
      </w:pPr>
      <w:r>
        <w:t xml:space="preserve">Product: vnjddkjnjh | Company: mgsiypiqgv</w:t>
      </w:r>
    </w:p>
    <w:p>
      <w:pPr>
        <w:pStyle w:val="BodyText"/>
      </w:pPr>
      <w:r>
        <w:t xml:space="preserve">Generated Date: 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vnjddkjnjh, manufactured by mgsiypiqgv. Conducted by Senior Sustainability Consultant gdyerpekhx, the analysis adheres to the Greenhouse Gas (GHG) Protocol standards, encompassing Scope 1, Scope 2, and Scope 3 emissions across the product\'s lifecycle. The assessment also considers the recent 2026 update to the GHG Protocol\'s Land Sector and Removals (LSR) Standard. The total estimated carbon footprint for one functional unit of vnjddkjnjh is calculated to be **23.25 kg CO2e**, with the use phase identified as the primary contributor.</w:t>
      </w:r>
    </w:p>
    <w:p>
      <w:r>
        <w:pict>
          <v:rect style="width:0;height:1.5pt" o:hralign="center" o:hrstd="t" o:hr="t"/>
        </w:pict>
      </w:r>
    </w:p>
    <w:bookmarkEnd w:id="22"/>
    <w:bookmarkStart w:id="23" w:name="definition-of-scope"/>
    <w:p>
      <w:pPr>
        <w:pStyle w:val="Heading2"/>
      </w:pPr>
      <w:r>
        <w:t xml:space="preserve">1. Definition of Scope</w:t>
      </w:r>
    </w:p>
    <w:p>
      <w:pPr>
        <w:pStyle w:val="FirstParagraph"/>
      </w:pPr>
      <w:r>
        <w:t xml:space="preserve">The scope of this Product Carbon Footprint (PCF) analysis for vnjddkjnjh is defined as follows:</w:t>
      </w:r>
    </w:p>
    <w:p>
      <w:pPr>
        <w:numPr>
          <w:ilvl w:val="0"/>
          <w:numId w:val="1001"/>
        </w:numPr>
        <w:pStyle w:val="Compact"/>
      </w:pPr>
      <w:r>
        <w:rPr>
          <w:bCs/>
          <w:b/>
        </w:rPr>
        <w:t xml:space="preserve">Functional Unit:</w:t>
      </w:r>
      <w:r>
        <w:t xml:space="preserve"> </w:t>
      </w:r>
      <w:r>
        <w:t xml:space="preserve">1.0 unit of vnjddkjnjh. This serves as the reference unit to which all inputs and outputs are normalized.</w:t>
      </w:r>
    </w:p>
    <w:p>
      <w:pPr>
        <w:numPr>
          <w:ilvl w:val="0"/>
          <w:numId w:val="1001"/>
        </w:numPr>
        <w:pStyle w:val="Compact"/>
      </w:pPr>
      <w:r>
        <w:rPr>
          <w:bCs/>
          <w:b/>
        </w:rPr>
        <w:t xml:space="preserve">System Boundary:</w:t>
      </w:r>
      <w:r>
        <w:t xml:space="preserve"> </w:t>
      </w:r>
      <w:r>
        <w:t xml:space="preserve">factory_gate. This "Cradle-to-Gate" plus downstream lifecycle stages (use phase and end-of-life) analysis covers raw material acquisition, manufacturing, transportation to market, product use,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emission factors are primarily sourced for China, while upstream transportation and certain material impacts may reflect a European supply chain context.</w:t>
      </w:r>
    </w:p>
    <w:p>
      <w:pPr>
        <w:numPr>
          <w:ilvl w:val="0"/>
          <w:numId w:val="1001"/>
        </w:numPr>
        <w:pStyle w:val="Compact"/>
      </w:pPr>
      <w:r>
        <w:rPr>
          <w:bCs/>
          <w:b/>
        </w:rPr>
        <w:t xml:space="preserve">Accounting Standard:</w:t>
      </w:r>
      <w:r>
        <w:t xml:space="preserve"> </w:t>
      </w:r>
      <w:r>
        <w:t xml:space="preserve">This PCF analysis strictly adheres to the GHG Protocol standards for corporate and value chain (Scope 3) accounting.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All emissions are allocated directly to the functional unit (1.0 unit of vnjddkjnjh) based on direct attribution.</w:t>
      </w:r>
    </w:p>
    <w:p>
      <w:r>
        <w:pict>
          <v:rect style="width:0;height:1.5pt" o:hralign="center" o:hrstd="t" o:hr="t"/>
        </w:pict>
      </w:r>
    </w:p>
    <w:bookmarkEnd w:id="23"/>
    <w:bookmarkStart w:id="29" w:name="lifecycle-mapping-and-data-collection"/>
    <w:p>
      <w:pPr>
        <w:pStyle w:val="Heading2"/>
      </w:pPr>
      <w:r>
        <w:t xml:space="preserve">2. &amp; 3. Lifecycle Mapping and Data Collection</w:t>
      </w:r>
    </w:p>
    <w:p>
      <w:pPr>
        <w:pStyle w:val="FirstParagraph"/>
      </w:pPr>
      <w:r>
        <w:t xml:space="preserve">The lifecycle of vnjddkjnjh has been mapped into key stages, and data has been collected (or illustratively assumed based on parameter inputs) for each stage to quantify environmental impacts. The analysis categorizes emissions according to the GHG Protocol\'s Scope 1, 2, and 3 framework.</w:t>
      </w:r>
    </w:p>
    <w:bookmarkStart w:id="24" w:name="X0411cf4e1d7e5c7be733a0b22adf8a3df77fd96"/>
    <w:p>
      <w:pPr>
        <w:pStyle w:val="Heading3"/>
      </w:pPr>
      <w:r>
        <w:t xml:space="preserve">Detailed Bill of Materials (BOM) &amp; Material Impact (Scope 3, Category 1)</w:t>
      </w:r>
    </w:p>
    <w:p>
      <w:pPr>
        <w:pStyle w:val="FirstParagraph"/>
      </w:pPr>
      <w:r>
        <w:t xml:space="preserve">The material impact is calculated using illustrative data that follows the specified format "ID, Description, Category, Process, Qty, Unit, Emission Factor, Total Carbon". This illustrative data is used to demonstrate the calculation methodology due to the placeholder nature of the input parameter `ddwgugly`.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0.450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0.020</w:t>
            </w:r>
          </w:p>
        </w:tc>
      </w:tr>
      <w:tr>
        <w:tc>
          <w:tcPr>
            <w:gridSpan w:val="7"/>
          </w:tcPr>
          <w:p>
            <w:pPr>
              <w:pStyle w:val="Compact"/>
              <w:jc w:val="right"/>
            </w:pPr>
            <w:r>
              <w:t xml:space="preserve">Subtotal Material Impact:</w:t>
            </w:r>
          </w:p>
        </w:tc>
        <w:tc>
          <w:tcPr/>
          <w:p>
            <w:pPr>
              <w:pStyle w:val="Compact"/>
              <w:jc w:val="left"/>
            </w:pPr>
            <w:r>
              <w:t xml:space="preserve">2.095</w:t>
            </w:r>
          </w:p>
        </w:tc>
      </w:tr>
    </w:tbl>
    <w:p>
      <w:pPr>
        <w:pStyle w:val="BodyText"/>
      </w:pPr>
      <w:r>
        <w:t xml:space="preserve">The total material impact from purchased goods and services (Scope 3, Category 1) is **2.095 kg CO2e**.</w:t>
      </w:r>
    </w:p>
    <w:bookmarkEnd w:id="24"/>
    <w:bookmarkStart w:id="25" w:name="X46d9ac1390c8e0866ee8c54837f217db2063d8f"/>
    <w:p>
      <w:pPr>
        <w:pStyle w:val="Heading3"/>
      </w:pPr>
      <w:r>
        <w:t xml:space="preserve">Production Phase Energy Inputs (Scope 2 &amp; Scope 3)</w:t>
      </w:r>
    </w:p>
    <w:p>
      <w:pPr>
        <w:pStyle w:val="FirstParagraph"/>
      </w:pPr>
      <w:r>
        <w:t xml:space="preserve">The production phase involves significant energy consumption, primarily electricity.</w:t>
      </w:r>
    </w:p>
    <w:p>
      <w:pPr>
        <w:numPr>
          <w:ilvl w:val="0"/>
          <w:numId w:val="1002"/>
        </w:numPr>
        <w:pStyle w:val="Compact"/>
      </w:pPr>
      <w:r>
        <w:rPr>
          <w:bCs/>
          <w:b/>
        </w:rPr>
        <w:t xml:space="preserve">Energy Intensity (kWh/unit):</w:t>
      </w:r>
      <w:r>
        <w:t xml:space="preserve"> </w:t>
      </w:r>
      <w:r>
        <w:t xml:space="preserve">jsqikuoflv (assumed as 5.0 kWh/unit)</w:t>
      </w:r>
    </w:p>
    <w:p>
      <w:pPr>
        <w:numPr>
          <w:ilvl w:val="0"/>
          <w:numId w:val="1002"/>
        </w:numPr>
        <w:pStyle w:val="Compact"/>
      </w:pPr>
      <w:r>
        <w:rPr>
          <w:bCs/>
          <w:b/>
        </w:rPr>
        <w:t xml:space="preserve">Renewable Energy Usage:</w:t>
      </w:r>
      <w:r>
        <w:t xml:space="preserve"> </w:t>
      </w:r>
      <w:r>
        <w:t xml:space="preserve">iyiuspqktw (assumed as 30%)</w:t>
      </w:r>
    </w:p>
    <w:p>
      <w:pPr>
        <w:numPr>
          <w:ilvl w:val="0"/>
          <w:numId w:val="1002"/>
        </w:numPr>
        <w:pStyle w:val="Compact"/>
      </w:pPr>
      <w:r>
        <w:rPr>
          <w:bCs/>
          <w:b/>
        </w:rPr>
        <w:t xml:space="preserve">Final Production Country Grid Emission Factor (China, 2023 National Average):</w:t>
      </w:r>
      <w:r>
        <w:t xml:space="preserve"> </w:t>
      </w:r>
      <w:r>
        <w:t xml:space="preserve">0.6205 kg CO2e/kWh.</w:t>
      </w:r>
    </w:p>
    <w:p>
      <w:pPr>
        <w:pStyle w:val="FirstParagraph"/>
      </w:pPr>
      <w:r>
        <w:t xml:space="preserve">For the 1.0 unit of vnjddkjnjh:</w:t>
      </w:r>
    </w:p>
    <w:p>
      <w:pPr>
        <w:numPr>
          <w:ilvl w:val="0"/>
          <w:numId w:val="1003"/>
        </w:numPr>
        <w:pStyle w:val="Compact"/>
      </w:pPr>
      <w:r>
        <w:t xml:space="preserve">Non-renewable electricity consumed: 5.0 kWh * (1 - 0.30) = 3.5 kWh</w:t>
      </w:r>
    </w:p>
    <w:p>
      <w:pPr>
        <w:numPr>
          <w:ilvl w:val="0"/>
          <w:numId w:val="1003"/>
        </w:numPr>
        <w:pStyle w:val="Compact"/>
      </w:pPr>
      <w:r>
        <w:t xml:space="preserve">Renewable electricity consumed: 5.0 kWh * 0.30 = 1.5 kWh</w:t>
      </w:r>
    </w:p>
    <w:bookmarkEnd w:id="25"/>
    <w:bookmarkStart w:id="26" w:name="Xe36ed3cf4a62afd4554ec865585fb5e91461011"/>
    <w:p>
      <w:pPr>
        <w:pStyle w:val="Heading3"/>
      </w:pPr>
      <w:r>
        <w:t xml:space="preserve">Transportation &amp; Logistics (Scope 3, Categories 4 &amp; 9)</w:t>
      </w:r>
    </w:p>
    <w:p>
      <w:pPr>
        <w:pStyle w:val="FirstParagraph"/>
      </w:pPr>
      <w:r>
        <w:t xml:space="preserve">Logistics data includes upstream transportation of materials and downstream delivery of the finished product. The total assumed product weight for transportation is 0.5 kg (including minor packaging).</w:t>
      </w:r>
    </w:p>
    <w:p>
      <w:pPr>
        <w:numPr>
          <w:ilvl w:val="0"/>
          <w:numId w:val="1004"/>
        </w:numPr>
        <w:pStyle w:val="Compact"/>
      </w:pPr>
      <w:r>
        <w:rPr>
          <w:bCs/>
          <w:b/>
        </w:rPr>
        <w:t xml:space="preserve">Transport Mode (main):</w:t>
      </w:r>
      <w:r>
        <w:t xml:space="preserve"> </w:t>
      </w:r>
      <w:r>
        <w:t xml:space="preserve">Select Mode (assumed as Road Freight)</w:t>
      </w:r>
    </w:p>
    <w:p>
      <w:pPr>
        <w:numPr>
          <w:ilvl w:val="0"/>
          <w:numId w:val="1004"/>
        </w:numPr>
        <w:pStyle w:val="Compact"/>
      </w:pPr>
      <w:r>
        <w:rPr>
          <w:bCs/>
          <w:b/>
        </w:rPr>
        <w:t xml:space="preserve">Transport Distance:</w:t>
      </w:r>
      <w:r>
        <w:t xml:space="preserve"> </w:t>
      </w:r>
      <w:r>
        <w:t xml:space="preserve">qvqpumjoed (assumed as 2000 km)</w:t>
      </w:r>
    </w:p>
    <w:p>
      <w:pPr>
        <w:numPr>
          <w:ilvl w:val="0"/>
          <w:numId w:val="1004"/>
        </w:numPr>
        <w:pStyle w:val="Compact"/>
      </w:pPr>
      <w:r>
        <w:rPr>
          <w:bCs/>
          <w:b/>
        </w:rPr>
        <w:t xml:space="preserve">Road Freight Emission Factor:</w:t>
      </w:r>
      <w:r>
        <w:t xml:space="preserve"> </w:t>
      </w:r>
      <w:r>
        <w:t xml:space="preserve">0.069 kg CO2e/tonne-km (GLEC average for road freight).</w:t>
      </w:r>
    </w:p>
    <w:p>
      <w:pPr>
        <w:numPr>
          <w:ilvl w:val="0"/>
          <w:numId w:val="1004"/>
        </w:numPr>
        <w:pStyle w:val="Compact"/>
      </w:pPr>
      <w:r>
        <w:rPr>
          <w:bCs/>
          <w:b/>
        </w:rPr>
        <w:t xml:space="preserve">Last-Mile Delivery Channel:</w:t>
      </w:r>
      <w:r>
        <w:t xml:space="preserve"> </w:t>
      </w:r>
      <w:r>
        <w:t xml:space="preserve">Delivery Type (assumed as Parcel Delivery)</w:t>
      </w:r>
    </w:p>
    <w:p>
      <w:pPr>
        <w:numPr>
          <w:ilvl w:val="0"/>
          <w:numId w:val="1004"/>
        </w:numPr>
        <w:pStyle w:val="Compact"/>
      </w:pPr>
      <w:r>
        <w:rPr>
          <w:bCs/>
          <w:b/>
        </w:rPr>
        <w:t xml:space="preserve">Last-Mile Delivery Emission Factor:</w:t>
      </w:r>
      <w:r>
        <w:t xml:space="preserve"> </w:t>
      </w:r>
      <w:r>
        <w:t xml:space="preserve">0.1 kg CO2e/parcel (average for last-mile delivery, Thuiswinkel.org 2024).</w:t>
      </w:r>
    </w:p>
    <w:bookmarkEnd w:id="26"/>
    <w:bookmarkStart w:id="27" w:name="use-phase-scope-3-category-11"/>
    <w:p>
      <w:pPr>
        <w:pStyle w:val="Heading3"/>
      </w:pPr>
      <w:r>
        <w:t xml:space="preserve">Use Phase (Scope 3, Category 11)</w:t>
      </w:r>
    </w:p>
    <w:p>
      <w:pPr>
        <w:pStyle w:val="FirstParagraph"/>
      </w:pPr>
      <w:r>
        <w:t xml:space="preserve">The use phase impact is calculated based on the product\'s lifespan and energy consumption during its operational period.</w:t>
      </w:r>
    </w:p>
    <w:p>
      <w:pPr>
        <w:numPr>
          <w:ilvl w:val="0"/>
          <w:numId w:val="1005"/>
        </w:numPr>
        <w:pStyle w:val="Compact"/>
      </w:pPr>
      <w:r>
        <w:rPr>
          <w:bCs/>
          <w:b/>
        </w:rPr>
        <w:t xml:space="preserve">Product Lifespan:</w:t>
      </w:r>
      <w:r>
        <w:t xml:space="preserve"> </w:t>
      </w:r>
      <w:r>
        <w:t xml:space="preserve">gqpryiltsd (assumed as 3 years)</w:t>
      </w:r>
    </w:p>
    <w:p>
      <w:pPr>
        <w:numPr>
          <w:ilvl w:val="0"/>
          <w:numId w:val="1005"/>
        </w:numPr>
        <w:pStyle w:val="Compact"/>
      </w:pPr>
      <w:r>
        <w:rPr>
          <w:bCs/>
          <w:b/>
        </w:rPr>
        <w:t xml:space="preserve">Energy Consumption in Use:</w:t>
      </w:r>
      <w:r>
        <w:t xml:space="preserve"> </w:t>
      </w:r>
      <w:r>
        <w:t xml:space="preserve">joniuqgerp (assumed as 10.0 kWh/year)</w:t>
      </w:r>
    </w:p>
    <w:bookmarkEnd w:id="27"/>
    <w:bookmarkStart w:id="28" w:name="X3261202975bfccb1283f2bd5fabef2dfdbe9c90"/>
    <w:p>
      <w:pPr>
        <w:pStyle w:val="Heading3"/>
      </w:pPr>
      <w:r>
        <w:t xml:space="preserve">End-of-Life (EoL) Scenarios (Scope 3, Category 12)</w:t>
      </w:r>
    </w:p>
    <w:p>
      <w:pPr>
        <w:pStyle w:val="FirstParagraph"/>
      </w:pPr>
      <w:r>
        <w:t xml:space="preserve">End-of-life impacts consider recyclability and circular economy initiatives.</w:t>
      </w:r>
    </w:p>
    <w:p>
      <w:pPr>
        <w:numPr>
          <w:ilvl w:val="0"/>
          <w:numId w:val="1006"/>
        </w:numPr>
        <w:pStyle w:val="Compact"/>
      </w:pPr>
      <w:r>
        <w:rPr>
          <w:bCs/>
          <w:b/>
        </w:rPr>
        <w:t xml:space="preserve">Recyclability Percentage:</w:t>
      </w:r>
      <w:r>
        <w:t xml:space="preserve"> </w:t>
      </w:r>
      <w:r>
        <w:t xml:space="preserve">rqijdwdtij (assumed as 60%)</w:t>
      </w:r>
    </w:p>
    <w:p>
      <w:pPr>
        <w:numPr>
          <w:ilvl w:val="0"/>
          <w:numId w:val="1006"/>
        </w:numPr>
        <w:pStyle w:val="Compact"/>
      </w:pPr>
      <w:r>
        <w:rPr>
          <w:bCs/>
          <w:b/>
        </w:rPr>
        <w:t xml:space="preserve">Circular/Take-back Programs:</w:t>
      </w:r>
      <w:r>
        <w:t xml:space="preserve"> </w:t>
      </w:r>
      <w:r>
        <w:t xml:space="preserve">kouyiwkdvq ("Company offers a take-back program for end-of-life products, facilitating material recovery.")</w:t>
      </w:r>
    </w:p>
    <w:p>
      <w:pPr>
        <w:numPr>
          <w:ilvl w:val="0"/>
          <w:numId w:val="1006"/>
        </w:numPr>
        <w:pStyle w:val="Compact"/>
      </w:pPr>
      <w:r>
        <w:rPr>
          <w:bCs/>
          <w:b/>
        </w:rPr>
        <w:t xml:space="preserve">Waste Treatment Emission Factor (for non-recycled waste):</w:t>
      </w:r>
      <w:r>
        <w:t xml:space="preserve"> </w:t>
      </w:r>
      <w:r>
        <w:t xml:space="preserve">Assumed 1.0 kg CO2e/kg for generic waste disposal/incineration (illustrative, industry-specific data would be more precise).</w:t>
      </w:r>
    </w:p>
    <w:p>
      <w:r>
        <w:pict>
          <v:rect style="width:0;height:1.5pt" o:hralign="center" o:hrstd="t" o:hr="t"/>
        </w:pict>
      </w:r>
    </w:p>
    <w:bookmarkEnd w:id="28"/>
    <w:bookmarkEnd w:id="29"/>
    <w:bookmarkStart w:id="37" w:name="calculation-of-emissions-co2e"/>
    <w:p>
      <w:pPr>
        <w:pStyle w:val="Heading2"/>
      </w:pPr>
      <w:r>
        <w:t xml:space="preserve">4. Calculation of Emissions (CO2e)</w:t>
      </w:r>
    </w:p>
    <w:p>
      <w:pPr>
        <w:pStyle w:val="FirstParagraph"/>
      </w:pPr>
      <w:r>
        <w:t xml:space="preserve">Emissions are calculated for each lifecycle stage and categorized according to the GHG Protocol. All calculations are for one functional unit of vnjddkjnjh.</w:t>
      </w:r>
    </w:p>
    <w:bookmarkStart w:id="30" w:name="scope-1-emissions-direct-emissions"/>
    <w:p>
      <w:pPr>
        <w:pStyle w:val="Heading3"/>
      </w:pPr>
      <w:r>
        <w:t xml:space="preserve">Scope 1 Emissions (Direct Emissions)</w:t>
      </w:r>
    </w:p>
    <w:p>
      <w:pPr>
        <w:pStyle w:val="FirstParagraph"/>
      </w:pPr>
      <w:r>
        <w:t xml:space="preserve">Based on the provided parameters, direct emissions from mgsiypiqgv\'s owned or controlled sources (e.g., on-site fuel combustion) are assumed to be negligible for the product vnjddkjnjh or are implicitly accounted for in upstream processes reflected in Scope 3. No specific Scope 1 emissions were provided.</w:t>
      </w:r>
    </w:p>
    <w:p>
      <w:pPr>
        <w:numPr>
          <w:ilvl w:val="0"/>
          <w:numId w:val="1007"/>
        </w:numPr>
        <w:pStyle w:val="Compact"/>
      </w:pPr>
      <w:r>
        <w:rPr>
          <w:bCs/>
          <w:b/>
        </w:rPr>
        <w:t xml:space="preserve">Total Scope 1 Emissions:</w:t>
      </w:r>
      <w:r>
        <w:t xml:space="preserve"> </w:t>
      </w:r>
      <w:r>
        <w:t xml:space="preserve">0.00 kg CO2e</w:t>
      </w:r>
    </w:p>
    <w:bookmarkEnd w:id="30"/>
    <w:bookmarkStart w:id="31" w:name="scope-2-emissions-purchased-electricity"/>
    <w:p>
      <w:pPr>
        <w:pStyle w:val="Heading3"/>
      </w:pPr>
      <w:r>
        <w:t xml:space="preserve">Scope 2 Emissions (Purchased Electricity)</w:t>
      </w:r>
    </w:p>
    <w:p>
      <w:pPr>
        <w:pStyle w:val="FirstParagraph"/>
      </w:pPr>
      <w:r>
        <w:t xml:space="preserve">These are indirect emissions from the generation of purchased electricity consumed by mgsiypiqgv for the production of vnjddkjnjh.</w:t>
      </w:r>
    </w:p>
    <w:p>
      <w:pPr>
        <w:numPr>
          <w:ilvl w:val="0"/>
          <w:numId w:val="1008"/>
        </w:numPr>
        <w:pStyle w:val="Compact"/>
      </w:pPr>
      <w:r>
        <w:t xml:space="preserve">Non-renewable Electricity: 3.5 kWh/unit</w:t>
      </w:r>
    </w:p>
    <w:p>
      <w:pPr>
        <w:numPr>
          <w:ilvl w:val="0"/>
          <w:numId w:val="1008"/>
        </w:numPr>
        <w:pStyle w:val="Compact"/>
      </w:pPr>
      <w:r>
        <w:t xml:space="preserve">China Grid Emission Factor: 0.6205 kg CO2e/kWh</w:t>
      </w:r>
    </w:p>
    <w:p>
      <w:pPr>
        <w:numPr>
          <w:ilvl w:val="0"/>
          <w:numId w:val="1008"/>
        </w:numPr>
        <w:pStyle w:val="Compact"/>
      </w:pPr>
      <w:r>
        <w:rPr>
          <w:bCs/>
          <w:b/>
        </w:rPr>
        <w:t xml:space="preserve">Scope 2 Emissions:</w:t>
      </w:r>
      <w:r>
        <w:t xml:space="preserve"> </w:t>
      </w:r>
      <w:r>
        <w:t xml:space="preserve">3.5 kWh/unit * 0.6205 kg CO2e/kWh = 2.17 kg CO2e</w:t>
      </w:r>
    </w:p>
    <w:bookmarkEnd w:id="31"/>
    <w:bookmarkStart w:id="33" w:name="scope-3-emissions-value-chain-emissions"/>
    <w:p>
      <w:pPr>
        <w:pStyle w:val="Heading3"/>
      </w:pPr>
      <w:r>
        <w:t xml:space="preserve">Scope 3 Emissions (Value Chain Emissions)</w:t>
      </w:r>
    </w:p>
    <w:p>
      <w:pPr>
        <w:pStyle w:val="FirstParagraph"/>
      </w:pPr>
      <w:r>
        <w:t xml:space="preserve">Scope 3 emissions cover all other indirect emissions occurring in the value chain, both upstream and downstream.</w:t>
      </w:r>
    </w:p>
    <w:p>
      <w:pPr>
        <w:numPr>
          <w:ilvl w:val="0"/>
          <w:numId w:val="1009"/>
        </w:numPr>
        <w:pStyle w:val="Compact"/>
      </w:pPr>
      <w:r>
        <w:rPr>
          <w:bCs/>
          <w:b/>
        </w:rPr>
        <w:t xml:space="preserve">Category 1: Purchased Goods and Services (Materials)</w:t>
      </w:r>
    </w:p>
    <w:p>
      <w:pPr>
        <w:numPr>
          <w:ilvl w:val="1"/>
          <w:numId w:val="1010"/>
        </w:numPr>
        <w:pStyle w:val="Compact"/>
      </w:pPr>
      <w:r>
        <w:t xml:space="preserve">Total from BOM (illustrative): 2.095 kg CO2e</w:t>
      </w:r>
    </w:p>
    <w:p>
      <w:pPr>
        <w:numPr>
          <w:ilvl w:val="0"/>
          <w:numId w:val="1009"/>
        </w:numPr>
        <w:pStyle w:val="Compact"/>
      </w:pPr>
      <w:r>
        <w:rPr>
          <w:bCs/>
          <w:b/>
        </w:rPr>
        <w:t xml:space="preserve">Category 4 &amp; 9: Transportation and Distribution (Upstream and Downstream)</w:t>
      </w:r>
    </w:p>
    <w:p>
      <w:pPr>
        <w:numPr>
          <w:ilvl w:val="1"/>
          <w:numId w:val="1011"/>
        </w:numPr>
        <w:pStyle w:val="Compact"/>
      </w:pPr>
      <w:r>
        <w:t xml:space="preserve">Product weight for transport (assumed): 0.5 kg</w:t>
      </w:r>
    </w:p>
    <w:p>
      <w:pPr>
        <w:numPr>
          <w:ilvl w:val="1"/>
          <w:numId w:val="1011"/>
        </w:numPr>
        <w:pStyle w:val="Compact"/>
      </w:pPr>
      <w:r>
        <w:t xml:space="preserve">Road Freight Emissions (Upstream/Primary Transport): (0.5 kg / 1000 kg/tonne) * 2000 km * 0.069 kg CO2e/tonne-km = 0.069 kg CO2e</w:t>
      </w:r>
    </w:p>
    <w:p>
      <w:pPr>
        <w:numPr>
          <w:ilvl w:val="1"/>
          <w:numId w:val="1011"/>
        </w:numPr>
        <w:pStyle w:val="Compact"/>
      </w:pPr>
      <w:r>
        <w:t xml:space="preserve">Last-Mile Delivery Emissions: 0.1 kg CO2e/parcel = 0.100 kg CO2e</w:t>
      </w:r>
    </w:p>
    <w:p>
      <w:pPr>
        <w:numPr>
          <w:ilvl w:val="1"/>
          <w:numId w:val="1011"/>
        </w:numPr>
        <w:pStyle w:val="Compact"/>
      </w:pPr>
      <w:r>
        <w:rPr>
          <w:bCs/>
          <w:b/>
        </w:rPr>
        <w:t xml:space="preserve">Subtotal Transport Emissions:</w:t>
      </w:r>
      <w:r>
        <w:t xml:space="preserve"> </w:t>
      </w:r>
      <w:r>
        <w:t xml:space="preserve">0.069 + 0.100 = 0.169 kg CO2e</w:t>
      </w:r>
    </w:p>
    <w:p>
      <w:pPr>
        <w:numPr>
          <w:ilvl w:val="0"/>
          <w:numId w:val="1009"/>
        </w:numPr>
        <w:pStyle w:val="Compact"/>
      </w:pPr>
      <w:r>
        <w:rPr>
          <w:bCs/>
          <w:b/>
        </w:rPr>
        <w:t xml:space="preserve">Category 11: Use of Sold Products</w:t>
      </w:r>
    </w:p>
    <w:p>
      <w:pPr>
        <w:numPr>
          <w:ilvl w:val="1"/>
          <w:numId w:val="1012"/>
        </w:numPr>
        <w:pStyle w:val="Compact"/>
      </w:pPr>
      <w:r>
        <w:t xml:space="preserve">Total energy consumption over lifespan: 10.0 kWh/year * 3 years = 30.0 kWh</w:t>
      </w:r>
    </w:p>
    <w:p>
      <w:pPr>
        <w:numPr>
          <w:ilvl w:val="1"/>
          <w:numId w:val="1012"/>
        </w:numPr>
        <w:pStyle w:val="Compact"/>
      </w:pPr>
      <w:r>
        <w:t xml:space="preserve">Emissions from Use Phase: 30.0 kWh * 0.6205 kg CO2e/kWh = 18.615 kg CO2e</w:t>
      </w:r>
    </w:p>
    <w:p>
      <w:pPr>
        <w:numPr>
          <w:ilvl w:val="0"/>
          <w:numId w:val="1009"/>
        </w:numPr>
        <w:pStyle w:val="Compact"/>
      </w:pPr>
      <w:r>
        <w:rPr>
          <w:bCs/>
          <w:b/>
        </w:rPr>
        <w:t xml:space="preserve">Category 12: End-of-Life Treatment of Sold Products</w:t>
      </w:r>
    </w:p>
    <w:p>
      <w:pPr>
        <w:numPr>
          <w:ilvl w:val="1"/>
          <w:numId w:val="1013"/>
        </w:numPr>
        <w:pStyle w:val="Compact"/>
      </w:pPr>
      <w:r>
        <w:t xml:space="preserve">Non-recyclable waste: 0.5 kg * (1 - 0.60) = 0.2 kg</w:t>
      </w:r>
    </w:p>
    <w:p>
      <w:pPr>
        <w:numPr>
          <w:ilvl w:val="1"/>
          <w:numId w:val="1013"/>
        </w:numPr>
        <w:pStyle w:val="Compact"/>
      </w:pPr>
      <w:r>
        <w:t xml:space="preserve">Emissions from non-recycled waste: 0.2 kg * 1.0 kg CO2e/kg (assumed generic waste EF) = 0.200 kg CO2e</w:t>
      </w:r>
    </w:p>
    <w:p>
      <w:pPr>
        <w:numPr>
          <w:ilvl w:val="1"/>
          <w:numId w:val="1013"/>
        </w:numPr>
        <w:pStyle w:val="Compact"/>
      </w:pPr>
      <w:r>
        <w:t xml:space="preserve">Circular/Take-back programs: The company\'s take-back program reduces the amount of waste sent to landfill/incineration and facilitates material recovery, leading to avoided emissions, though not directly quantified as a credit here.</w:t>
      </w:r>
    </w:p>
    <w:p>
      <w:pPr>
        <w:numPr>
          <w:ilvl w:val="0"/>
          <w:numId w:val="1009"/>
        </w:numPr>
        <w:pStyle w:val="Compact"/>
      </w:pPr>
      <w:r>
        <w:rPr>
          <w:bCs/>
          <w:b/>
        </w:rPr>
        <w:t xml:space="preserve">Other Scope 3 Categories:</w:t>
      </w:r>
      <w:r>
        <w:t xml:space="preserve"> </w:t>
      </w:r>
      <w:r>
        <w:t xml:space="preserve">Other categories (e.g., Capital Goods, Business Travel, Employee Commuting, Waste Generated in Operations excluding product EoL) are not specifically quantified due to the parameter focus but would typically be considered for a full 95% Scope 3 coverage.</w:t>
      </w:r>
    </w:p>
    <w:bookmarkStart w:id="32" w:name="total-scope-3-emissions"/>
    <w:p>
      <w:pPr>
        <w:pStyle w:val="Heading4"/>
      </w:pPr>
      <w:r>
        <w:t xml:space="preserve">Total Scope 3 Emissions:</w:t>
      </w:r>
    </w:p>
    <w:p>
      <w:pPr>
        <w:pStyle w:val="FirstParagraph"/>
      </w:pPr>
      <w:r>
        <w:t xml:space="preserve">2.095 (Materials) + 0.169 (Transport) + 18.615 (Use Phase) + 0.200 (End-of-Life) = 21.079 kg CO2e</w:t>
      </w:r>
    </w:p>
    <w:bookmarkEnd w:id="32"/>
    <w:bookmarkEnd w:id="33"/>
    <w:bookmarkStart w:id="34"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 per functional unit)</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 (Production)</w:t>
            </w:r>
          </w:p>
        </w:tc>
        <w:tc>
          <w:tcPr/>
          <w:p>
            <w:pPr>
              <w:pStyle w:val="Compact"/>
              <w:jc w:val="left"/>
            </w:pPr>
            <w:r>
              <w:t xml:space="preserve">2.17</w:t>
            </w:r>
          </w:p>
        </w:tc>
      </w:tr>
      <w:tr>
        <w:tc>
          <w:tcPr/>
          <w:p>
            <w:pPr>
              <w:pStyle w:val="Compact"/>
              <w:jc w:val="left"/>
            </w:pPr>
            <w:r>
              <w:t xml:space="preserve">Scope 3</w:t>
            </w:r>
          </w:p>
        </w:tc>
        <w:tc>
          <w:tcPr/>
          <w:p>
            <w:pPr>
              <w:pStyle w:val="Compact"/>
              <w:jc w:val="left"/>
            </w:pPr>
            <w:r>
              <w:t xml:space="preserve">All Other Indirect Value Chain Emissions</w:t>
            </w:r>
          </w:p>
        </w:tc>
        <w:tc>
          <w:tcPr/>
          <w:p>
            <w:pPr>
              <w:pStyle w:val="Compact"/>
              <w:jc w:val="left"/>
            </w:pPr>
            <w:r>
              <w:t xml:space="preserve">21.08</w:t>
            </w:r>
          </w:p>
        </w:tc>
      </w:tr>
      <w:tr>
        <w:tc>
          <w:tcPr>
            <w:gridSpan w:val="2"/>
          </w:tcPr>
          <w:p>
            <w:pPr>
              <w:pStyle w:val="Compact"/>
              <w:jc w:val="right"/>
            </w:pPr>
            <w:r>
              <w:t xml:space="preserve">Total Product Carbon Footprint:</w:t>
            </w:r>
          </w:p>
        </w:tc>
        <w:tc>
          <w:tcPr/>
          <w:p>
            <w:pPr>
              <w:pStyle w:val="Compact"/>
              <w:jc w:val="left"/>
            </w:pPr>
            <w:r>
              <w:t xml:space="preserve">23.25</w:t>
            </w:r>
          </w:p>
        </w:tc>
      </w:tr>
    </w:tbl>
    <w:bookmarkEnd w:id="34"/>
    <w:bookmarkStart w:id="35" w:name="application-of-2026-lsr-update"/>
    <w:p>
      <w:pPr>
        <w:pStyle w:val="Heading3"/>
      </w:pPr>
      <w:r>
        <w:t xml:space="preserve">Application of 2026 LSR Update</w:t>
      </w:r>
    </w:p>
    <w:p>
      <w:pPr>
        <w:pStyle w:val="FirstParagraph"/>
      </w:pPr>
      <w:r>
        <w:t xml:space="preserve">The GHG Protocol\'s new Land Sector and Removals (LSR) Standard was released on January 30, 2026, and officially takes effect on January 1, 2027. This standard provides critical requirements for accounting for land sector emissions (e.g., land use change, land management, biogenic products) and CO2 removals. While specific land use data for vnjddkjnjh\'s supply chain was not provided, mgsiypiqgv should be aware of this upcoming standard and assess if its operations or value chain activities (particularly those involving agriculture or forestry, which may be included in future updates) have material land-related emissions or removals that will need to be quantified and reported starting in 2027. The current version primarily applies to agriculture and CO2 removal technologies, with forestry expected in future updates.</w:t>
      </w:r>
    </w:p>
    <w:bookmarkEnd w:id="35"/>
    <w:bookmarkStart w:id="36" w:name="scope-3-compliance"/>
    <w:p>
      <w:pPr>
        <w:pStyle w:val="Heading3"/>
      </w:pPr>
      <w:r>
        <w:t xml:space="preserve">Scope 3 Compliance</w:t>
      </w:r>
    </w:p>
    <w:p>
      <w:pPr>
        <w:pStyle w:val="FirstParagraph"/>
      </w:pPr>
      <w:r>
        <w:t xml:space="preserve">This report quantifies significant Scope 3 categories (Purchased Goods and Services, Transportation, Use of Sold Products, End-of-Life Treatment). While these represent the major identified hotspots for vnjddkjnjh, achieving at least 95% coverage for Scope 3 reporting as per 2026 requirements would necessitate a more exhaustive data collection effort across all 15 GHG Protocol Scope 3 categories. This would include detailed assessment of categories such as Capital Goods, Waste Generated in Operations, Business Travel, and Employee Commuting, which were not explicitly provided in the parameters for this product-specific analysis.</w:t>
      </w:r>
    </w:p>
    <w:p>
      <w:r>
        <w:pict>
          <v:rect style="width:0;height:1.5pt" o:hralign="center" o:hrstd="t" o:hr="t"/>
        </w:pict>
      </w:r>
    </w:p>
    <w:bookmarkEnd w:id="36"/>
    <w:bookmarkEnd w:id="37"/>
    <w:bookmarkStart w:id="42" w:name="review-report"/>
    <w:p>
      <w:pPr>
        <w:pStyle w:val="Heading2"/>
      </w:pPr>
      <w:r>
        <w:t xml:space="preserve">5. Review &amp; Report</w:t>
      </w:r>
    </w:p>
    <w:bookmarkStart w:id="38" w:name="product-carbon-footprint-hotspots"/>
    <w:p>
      <w:pPr>
        <w:pStyle w:val="Heading3"/>
      </w:pPr>
      <w:r>
        <w:t xml:space="preserve">Product Carbon Footprint Hotspots</w:t>
      </w:r>
    </w:p>
    <w:p>
      <w:pPr>
        <w:pStyle w:val="FirstParagraph"/>
      </w:pPr>
      <w:r>
        <w:t xml:space="preserve">The analysis reveals the following major hotspots for the vnjddkjnjh product:</w:t>
      </w:r>
    </w:p>
    <w:p>
      <w:pPr>
        <w:numPr>
          <w:ilvl w:val="0"/>
          <w:numId w:val="1014"/>
        </w:numPr>
        <w:pStyle w:val="Compact"/>
      </w:pPr>
      <w:r>
        <w:rPr>
          <w:bCs/>
          <w:b/>
        </w:rPr>
        <w:t xml:space="preserve">Use Phase:</w:t>
      </w:r>
      <w:r>
        <w:t xml:space="preserve"> </w:t>
      </w:r>
      <w:r>
        <w:t xml:space="preserve">With 18.615 kg CO2e, the energy consumption during the product\'s 3-year lifespan accounts for the largest portion of the total PCF, primarily due to grid electricity usage.</w:t>
      </w:r>
    </w:p>
    <w:p>
      <w:pPr>
        <w:numPr>
          <w:ilvl w:val="0"/>
          <w:numId w:val="1014"/>
        </w:numPr>
        <w:pStyle w:val="Compact"/>
      </w:pPr>
      <w:r>
        <w:rPr>
          <w:bCs/>
          <w:b/>
        </w:rPr>
        <w:t xml:space="preserve">Purchased Goods and Services (Materials):</w:t>
      </w:r>
      <w:r>
        <w:t xml:space="preserve"> </w:t>
      </w:r>
      <w:r>
        <w:t xml:space="preserve">The manufacturing of components, particularly the Printed Circuit Board (PCB) and Lithium-ion Battery, contributes significantly with 2.095 kg CO2e.</w:t>
      </w:r>
    </w:p>
    <w:p>
      <w:pPr>
        <w:numPr>
          <w:ilvl w:val="0"/>
          <w:numId w:val="1014"/>
        </w:numPr>
        <w:pStyle w:val="Compact"/>
      </w:pPr>
      <w:r>
        <w:rPr>
          <w:bCs/>
          <w:b/>
        </w:rPr>
        <w:t xml:space="preserve">Production Energy (Scope 2):</w:t>
      </w:r>
      <w:r>
        <w:t xml:space="preserve"> </w:t>
      </w:r>
      <w:r>
        <w:t xml:space="preserve">The electricity consumed during the manufacturing process, derived from the China grid, contributes 2.17 kg CO2e despite 30% renewable energy usage.</w:t>
      </w:r>
    </w:p>
    <w:bookmarkEnd w:id="38"/>
    <w:bookmarkStart w:id="41" w:name="reliability-and-recommendations"/>
    <w:p>
      <w:pPr>
        <w:pStyle w:val="Heading3"/>
      </w:pPr>
      <w:r>
        <w:t xml:space="preserve">Reliability and Recommendations</w:t>
      </w:r>
    </w:p>
    <w:p>
      <w:pPr>
        <w:pStyle w:val="FirstParagraph"/>
      </w:pPr>
      <w:r>
        <w:t xml:space="preserve">The reliability of this PCF analysis is contingent on the accuracy of the provided and assumed data, as well as the emission factors utilized. While industry-standard emission factors (e.g., from public databases reflecting Ecoinvent/DEFRA principles) have been applied for grid electricity and transportation, specific primary data from suppliers would further enhance accuracy.</w:t>
      </w:r>
    </w:p>
    <w:bookmarkStart w:id="40" w:name="recommendations-for-mgsiypiqgv"/>
    <w:p>
      <w:pPr>
        <w:pStyle w:val="Heading4"/>
      </w:pPr>
      <w:r>
        <w:t xml:space="preserve">Recommendations for mgsiypiqgv:</w:t>
      </w:r>
    </w:p>
    <w:p>
      <w:pPr>
        <w:numPr>
          <w:ilvl w:val="0"/>
          <w:numId w:val="1015"/>
        </w:numPr>
        <w:pStyle w:val="Compact"/>
      </w:pPr>
      <w:r>
        <w:rPr>
          <w:bCs/>
          <w:b/>
        </w:rPr>
        <w:t xml:space="preserve">Reduce Use Phase Impact:</w:t>
      </w:r>
      <w:r>
        <w:t xml:space="preserve"> </w:t>
      </w:r>
      <w:r>
        <w:t xml:space="preserve">Explore product design improvements for greater energy efficiency during the use phase. Educate consumers on sustainable usage and energy-saving practices.</w:t>
      </w:r>
    </w:p>
    <w:p>
      <w:pPr>
        <w:numPr>
          <w:ilvl w:val="0"/>
          <w:numId w:val="1015"/>
        </w:numPr>
        <w:pStyle w:val="Compact"/>
      </w:pPr>
      <w:r>
        <w:rPr>
          <w:bCs/>
          <w:b/>
        </w:rPr>
        <w:t xml:space="preserve">Optimize Material Sourcing:</w:t>
      </w:r>
      <w:r>
        <w:t xml:space="preserve"> </w:t>
      </w:r>
      <w:r>
        <w:t xml:space="preserve">Collaborate with suppliers to identify lower-carbon alternatives for materials, particularly for components with high emission factors like PCBs and batteries. Investigate opportunities for recycled content integration.</w:t>
      </w:r>
    </w:p>
    <w:p>
      <w:pPr>
        <w:numPr>
          <w:ilvl w:val="0"/>
          <w:numId w:val="1015"/>
        </w:numPr>
        <w:pStyle w:val="Compact"/>
      </w:pPr>
      <w:r>
        <w:rPr>
          <w:bCs/>
          <w:b/>
        </w:rPr>
        <w:t xml:space="preserve">Increase Renewable Energy in Production:</w:t>
      </w:r>
      <w:r>
        <w:t xml:space="preserve"> </w:t>
      </w:r>
      <w:r>
        <w:t xml:space="preserve">Continue to increase the share of renewable energy sources in manufacturing operations beyond the current 30% to further reduce Scope 2 emissions.</w:t>
      </w:r>
    </w:p>
    <w:p>
      <w:pPr>
        <w:numPr>
          <w:ilvl w:val="0"/>
          <w:numId w:val="1015"/>
        </w:numPr>
        <w:pStyle w:val="Compact"/>
      </w:pPr>
      <w:r>
        <w:rPr>
          <w:bCs/>
          <w:b/>
        </w:rPr>
        <w:t xml:space="preserve">Enhance Circularity:</w:t>
      </w:r>
      <w:r>
        <w:t xml:space="preserve"> </w:t>
      </w:r>
      <w:r>
        <w:t xml:space="preserve">Leverage the existing take-back programs (kouyiwkdvq) to maximize material recovery and explore closed-loop systems to minimize end-of-life emissions and potentially generate avoided emissions credits.</w:t>
      </w:r>
    </w:p>
    <w:p>
      <w:pPr>
        <w:numPr>
          <w:ilvl w:val="0"/>
          <w:numId w:val="1015"/>
        </w:numPr>
        <w:pStyle w:val="Compact"/>
      </w:pPr>
      <w:r>
        <w:rPr>
          <w:bCs/>
          <w:b/>
        </w:rPr>
        <w:t xml:space="preserve">GHG Protocol LSR Standard:</w:t>
      </w:r>
      <w:r>
        <w:t xml:space="preserve"> </w:t>
      </w:r>
      <w:r>
        <w:t xml:space="preserve">Initiate a review of business activities for potential land sector emissions or removals to prepare for the 2027 effective date of the LSR Standard.</w:t>
      </w:r>
    </w:p>
    <w:p>
      <w:pPr>
        <w:numPr>
          <w:ilvl w:val="0"/>
          <w:numId w:val="1015"/>
        </w:numPr>
        <w:pStyle w:val="Compact"/>
      </w:pPr>
      <w:r>
        <w:rPr>
          <w:bCs/>
          <w:b/>
        </w:rPr>
        <w:t xml:space="preserve">Data Granularity:</w:t>
      </w:r>
      <w:r>
        <w:t xml:space="preserve"> </w:t>
      </w:r>
      <w:r>
        <w:t xml:space="preserve">For future analyses aiming for higher Scope 3 coverage, collect more granular, primary data across all 15 Scope 3 categories, engaging with value chain partners.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39" w:name="page-num"/>
      <w:bookmarkEnd w:id="39"/>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vnjddkjnjh</dc:title>
  <dc:creator/>
  <dc:description>High-detail Product Carbon Footprint (PCF) analysis report for vnjddkjnjh by mgsiypiqgv, prepared by Senior Sustainability Consultant gdyerpekhx, adhering to GHG Protocol and 2026 LSR updates.</dc:description>
  <dc:language>en</dc:language>
  <cp:keywords/>
  <dcterms:created xsi:type="dcterms:W3CDTF">2026-07-15T18:39:13Z</dcterms:created>
  <dcterms:modified xsi:type="dcterms:W3CDTF">2026-07-15T18:39:13Z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