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vmvsnlvixe</w:t>
      </w:r>
      <w:r>
        <w:t xml:space="preserve"> </w:t>
      </w:r>
      <w:r>
        <w:t xml:space="preserve">(Smart</w:t>
      </w:r>
      <w:r>
        <w:t xml:space="preserve"> </w:t>
      </w:r>
      <w:r>
        <w:t xml:space="preserve">Home</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vmvsnlvixe (Smart Home Sensor)</w:t>
      </w:r>
    </w:p>
    <w:p>
      <w:pPr>
        <w:pStyle w:val="BodyText"/>
      </w:pPr>
      <w:r>
        <w:rPr>
          <w:bCs/>
          <w:b/>
        </w:rPr>
        <w:t xml:space="preserve">Company:</w:t>
      </w:r>
      <w:r>
        <w:t xml:space="preserve"> </w:t>
      </w:r>
      <w:r>
        <w:t xml:space="preserve">pgnqqspfhg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msuwgutyjr</w:t>
      </w:r>
    </w:p>
    <w:p>
      <w:pPr>
        <w:pStyle w:val="BodyText"/>
      </w:pPr>
      <w:r>
        <w:t xml:space="preserve">*This report is generated based on available data, industry standards, and reasonable assumptions for illustrative purposes. Actual emissions may vary based on specific operational details and real-time data inputs.*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vmvsnlvixe (Smart Home Sensor)</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pgnqqspfhg\'s product, vmvsnlvixe (Smart Home Sensor), conducted by Senior Sustainability Consultant msuwgutyjr. The analysis strictly adheres to the GHG Protocol accounting standard, providing a comprehensive assessment of greenhouse gas (GHG) emissions across the product\'s lifecycle. Key insights highlight emission hotspots from material acquisition, manufacturing, transportation, use phase, and end-of-life, with a focus on fulfilling 2026 Scope 3 reporting requirements and incorporating Land Sector and Removals (LSR) considerations.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 vmvsnlvixe (Smart Home Sensor) is defined as follows, in accordance with the GHG Protocol Product Standard.</w:t>
      </w:r>
    </w:p>
    <w:p>
      <w:pPr>
        <w:numPr>
          <w:ilvl w:val="0"/>
          <w:numId w:val="1001"/>
        </w:numPr>
        <w:pStyle w:val="Compact"/>
      </w:pPr>
      <w:r>
        <w:rPr>
          <w:bCs/>
          <w:b/>
        </w:rPr>
        <w:t xml:space="preserve">Functional Unit:</w:t>
      </w:r>
      <w:r>
        <w:t xml:space="preserve"> </w:t>
      </w:r>
      <w:r>
        <w:t xml:space="preserve">The functional unit for this analysis is defined as 1.0 unit of the vmvsnlvixe Smart Home Sensor, providing its intended function over its lifespan.</w:t>
      </w:r>
    </w:p>
    <w:p>
      <w:pPr>
        <w:numPr>
          <w:ilvl w:val="0"/>
          <w:numId w:val="1001"/>
        </w:numPr>
        <w:pStyle w:val="Compact"/>
      </w:pPr>
      <w:r>
        <w:rPr>
          <w:bCs/>
          <w:b/>
        </w:rPr>
        <w:t xml:space="preserve">System Boundary:</w:t>
      </w:r>
      <w:r>
        <w:t xml:space="preserve"> </w:t>
      </w:r>
      <w:r>
        <w:t xml:space="preserve">The system boundary is set at "factory_gate" for direct operational emissions but extends to a "cradle-to-grave" approach for comprehensive lifecycle assessment, covering raw material extraction, manufacturing, transportation, use, and end-of-life phases.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(reflecting primary market distribution)</w:t>
      </w:r>
    </w:p>
    <w:p>
      <w:pPr>
        <w:numPr>
          <w:ilvl w:val="0"/>
          <w:numId w:val="1001"/>
        </w:numPr>
        <w:pStyle w:val="Compact"/>
      </w:pPr>
      <w:r>
        <w:rPr>
          <w:bCs/>
          <w:b/>
        </w:rPr>
        <w:t xml:space="preserve">Allocation:</w:t>
      </w:r>
      <w:r>
        <w:t xml:space="preserve"> </w:t>
      </w:r>
      <w:r>
        <w:t xml:space="preserve">Environmental impacts are allocated to the vmvsnlvixe product based on mass and economic value where co-production or multi-functional processes occur, ensuring a fair representation of the product\'s attributable emissions.</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emissions), Scope 2 (indirect emissions from purchased energy), and Scope 3 (all other indirect emissions in the value chain).</w:t>
      </w:r>
    </w:p>
    <w:p>
      <w:r>
        <w:pict>
          <v:rect style="width:0;height:1.5pt" o:hralign="center" o:hrstd="t" o:hr="t"/>
        </w:pict>
      </w:r>
    </w:p>
    <w:bookmarkEnd w:id="23"/>
    <w:bookmarkStart w:id="25" w:name="lifecycle-mapping-lci-inventory-stages"/>
    <w:p>
      <w:pPr>
        <w:pStyle w:val="Heading2"/>
      </w:pPr>
      <w:r>
        <w:t xml:space="preserve">2. Lifecycle Mapping (LCI Inventory Stages)</w:t>
      </w:r>
    </w:p>
    <w:p>
      <w:pPr>
        <w:pStyle w:val="FirstParagraph"/>
      </w:pPr>
      <w:r>
        <w:t xml:space="preserve">The lifecycle of the vmvsnlvixe Smart Home Sensor has been mapped into five distinct stages, from raw material extraction to end-of-life management, to comprehensively identify all relevant inputs and outputs.</w:t>
      </w:r>
    </w:p>
    <w:bookmarkStart w:id="24" w:name="X1a1131a467e4365188ead8850c4d5fd31bbace3"/>
    <w:p>
      <w:pPr>
        <w:pStyle w:val="Heading3"/>
      </w:pPr>
      <w:r>
        <w:t xml:space="preserve">Detailed Bill of Materials (BOM) - kpekzody Data</w:t>
      </w:r>
    </w:p>
    <w:p>
      <w:pPr>
        <w:pStyle w:val="FirstParagraph"/>
      </w:pPr>
      <w:r>
        <w:t xml:space="preserve">The following table provides the detailed Bill of Materials (BOM) used for calculating the material acquisition and pre-processing impacts, as referenced by the \'kpekzody\' parameter. The \'Total Carbon\' values represent the pre-calculated carbon footprint for each material item, typically accounting for raw material extraction, initial processing, and transport to the component manufacturer.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Soldering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t xml:space="preserve">Total Material Carbon Footprint:</w:t>
            </w:r>
          </w:p>
        </w:tc>
        <w:tc>
          <w:tcPr/>
          <w:p>
            <w:pPr>
              <w:pStyle w:val="Compact"/>
              <w:jc w:val="left"/>
            </w:pPr>
            <w:r>
              <w:rPr>
                <w:bCs/>
                <w:b/>
              </w:rPr>
              <w:t xml:space="preserve">0.980</w:t>
            </w:r>
          </w:p>
        </w:tc>
      </w:tr>
    </w:tbl>
    <w:p>
      <w:r>
        <w:pict>
          <v:rect style="width:0;height:1.5pt" o:hralign="center" o:hrstd="t" o:hr="t"/>
        </w:pict>
      </w:r>
    </w:p>
    <w:bookmarkEnd w:id="24"/>
    <w:bookmarkEnd w:id="25"/>
    <w:bookmarkStart w:id="30" w:name="X7b6d01ce7b6bfe45f00681616505557cddf238f"/>
    <w:p>
      <w:pPr>
        <w:pStyle w:val="Heading2"/>
      </w:pPr>
      <w:r>
        <w:t xml:space="preserve">3. Data Collection (Primary/Secondary Data Points)</w:t>
      </w:r>
    </w:p>
    <w:p>
      <w:pPr>
        <w:pStyle w:val="FirstParagraph"/>
      </w:pPr>
      <w:r>
        <w:t xml:space="preserve">Both primary and secondary data were collected and utilized for this analysis. Primary data was directly sourced from pgnqqspfhg\'s operational parameters where available, while secondary data was obtained from recognized industry databases and scientific literature.</w:t>
      </w:r>
    </w:p>
    <w:bookmarkStart w:id="26" w:name="production-phase-data"/>
    <w:p>
      <w:pPr>
        <w:pStyle w:val="Heading3"/>
      </w:pPr>
      <w:r>
        <w:t xml:space="preserve">Production Phase Data</w:t>
      </w:r>
    </w:p>
    <w:p>
      <w:pPr>
        <w:numPr>
          <w:ilvl w:val="0"/>
          <w:numId w:val="1003"/>
        </w:numPr>
        <w:pStyle w:val="Compact"/>
      </w:pPr>
      <w:r>
        <w:rPr>
          <w:bCs/>
          <w:b/>
        </w:rPr>
        <w:t xml:space="preserve">Renewable Energy Usage (umzrnmyklv):</w:t>
      </w:r>
      <w:r>
        <w:t xml:space="preserve"> </w:t>
      </w:r>
      <w:r>
        <w:t xml:space="preserve">60% of the energy consumed in the production facility is from renewable sources.</w:t>
      </w:r>
    </w:p>
    <w:p>
      <w:pPr>
        <w:numPr>
          <w:ilvl w:val="0"/>
          <w:numId w:val="1003"/>
        </w:numPr>
        <w:pStyle w:val="Compact"/>
      </w:pPr>
      <w:r>
        <w:rPr>
          <w:bCs/>
          <w:b/>
        </w:rPr>
        <w:t xml:space="preserve">Energy Intensity (wzkpxuthwg):</w:t>
      </w:r>
      <w:r>
        <w:t xml:space="preserve"> </w:t>
      </w:r>
      <w:r>
        <w:t xml:space="preserve">The energy consumption for producing one unit of vmvsnlvixe is 1.2 kWh/unit.</w:t>
      </w:r>
    </w:p>
    <w:p>
      <w:pPr>
        <w:numPr>
          <w:ilvl w:val="0"/>
          <w:numId w:val="1003"/>
        </w:numPr>
        <w:pStyle w:val="Compact"/>
      </w:pPr>
      <w:r>
        <w:rPr>
          <w:bCs/>
          <w:b/>
        </w:rPr>
        <w:t xml:space="preserve">Final Production Country:</w:t>
      </w:r>
      <w:r>
        <w:t xml:space="preserve"> </w:t>
      </w:r>
      <w:r>
        <w:t xml:space="preserve">China.</w:t>
      </w:r>
    </w:p>
    <w:bookmarkEnd w:id="26"/>
    <w:bookmarkStart w:id="27" w:name="logistics-data"/>
    <w:p>
      <w:pPr>
        <w:pStyle w:val="Heading3"/>
      </w:pPr>
      <w:r>
        <w:t xml:space="preserve">Logistics Data</w:t>
      </w:r>
    </w:p>
    <w:p>
      <w:pPr>
        <w:numPr>
          <w:ilvl w:val="0"/>
          <w:numId w:val="1004"/>
        </w:numPr>
        <w:pStyle w:val="Compact"/>
      </w:pPr>
      <w:r>
        <w:rPr>
          <w:bCs/>
          <w:b/>
        </w:rPr>
        <w:t xml:space="preserve">Transport Mode (\'Select Mode\'):</w:t>
      </w:r>
      <w:r>
        <w:t xml:space="preserve"> </w:t>
      </w:r>
      <w:r>
        <w:t xml:space="preserve">Ocean Freight (Container Ship).</w:t>
      </w:r>
    </w:p>
    <w:p>
      <w:pPr>
        <w:numPr>
          <w:ilvl w:val="0"/>
          <w:numId w:val="1004"/>
        </w:numPr>
        <w:pStyle w:val="Compact"/>
      </w:pPr>
      <w:r>
        <w:rPr>
          <w:bCs/>
          <w:b/>
        </w:rPr>
        <w:t xml:space="preserve">Transport Distance (\'kxxpiedhxj\'):</w:t>
      </w:r>
      <w:r>
        <w:t xml:space="preserve"> </w:t>
      </w:r>
      <w:r>
        <w:t xml:space="preserve">15,000 km (from China to Europe).</w:t>
      </w:r>
    </w:p>
    <w:p>
      <w:pPr>
        <w:numPr>
          <w:ilvl w:val="0"/>
          <w:numId w:val="1004"/>
        </w:numPr>
        <w:pStyle w:val="Compact"/>
      </w:pPr>
      <w:r>
        <w:rPr>
          <w:bCs/>
          <w:b/>
        </w:rPr>
        <w:t xml:space="preserve">Last-Mile Delivery Channel (\'Delivery Type\'):</w:t>
      </w:r>
      <w:r>
        <w:t xml:space="preserve"> </w:t>
      </w:r>
      <w:r>
        <w:t xml:space="preserve">Parcel Van Delivery.</w:t>
      </w:r>
    </w:p>
    <w:bookmarkEnd w:id="27"/>
    <w:bookmarkStart w:id="28" w:name="use-phase-data"/>
    <w:p>
      <w:pPr>
        <w:pStyle w:val="Heading3"/>
      </w:pPr>
      <w:r>
        <w:t xml:space="preserve">Use Phase Data</w:t>
      </w:r>
    </w:p>
    <w:p>
      <w:pPr>
        <w:numPr>
          <w:ilvl w:val="0"/>
          <w:numId w:val="1005"/>
        </w:numPr>
        <w:pStyle w:val="Compact"/>
      </w:pPr>
      <w:r>
        <w:rPr>
          <w:bCs/>
          <w:b/>
        </w:rPr>
        <w:t xml:space="preserve">Product Lifespan (\'fntjzzmwzh\'):</w:t>
      </w:r>
      <w:r>
        <w:t xml:space="preserve"> </w:t>
      </w:r>
      <w:r>
        <w:t xml:space="preserve">The estimated lifespan of the vmvsnlvixe Smart Home Sensor is 3 years.</w:t>
      </w:r>
    </w:p>
    <w:p>
      <w:pPr>
        <w:numPr>
          <w:ilvl w:val="0"/>
          <w:numId w:val="1005"/>
        </w:numPr>
        <w:pStyle w:val="Compact"/>
      </w:pPr>
      <w:r>
        <w:rPr>
          <w:bCs/>
          <w:b/>
        </w:rPr>
        <w:t xml:space="preserve">Energy Consumption in Use (\'tjfgohentt\'):</w:t>
      </w:r>
      <w:r>
        <w:t xml:space="preserve"> </w:t>
      </w:r>
      <w:r>
        <w:t xml:space="preserve">The product consumes an average of 0.01 kWh per day during its operational life.</w:t>
      </w:r>
    </w:p>
    <w:bookmarkEnd w:id="28"/>
    <w:bookmarkStart w:id="29" w:name="end-of-life-eol-data"/>
    <w:p>
      <w:pPr>
        <w:pStyle w:val="Heading3"/>
      </w:pPr>
      <w:r>
        <w:t xml:space="preserve">End-of-Life (EoL) Data</w:t>
      </w:r>
    </w:p>
    <w:p>
      <w:pPr>
        <w:numPr>
          <w:ilvl w:val="0"/>
          <w:numId w:val="1006"/>
        </w:numPr>
        <w:pStyle w:val="Compact"/>
      </w:pPr>
      <w:r>
        <w:rPr>
          <w:bCs/>
          <w:b/>
        </w:rPr>
        <w:t xml:space="preserve">Recyclability Percentage (\'prsihghipv\'):</w:t>
      </w:r>
      <w:r>
        <w:t xml:space="preserve"> </w:t>
      </w:r>
      <w:r>
        <w:t xml:space="preserve">75% of the product\'s materials are technically recyclable.</w:t>
      </w:r>
    </w:p>
    <w:p>
      <w:pPr>
        <w:numPr>
          <w:ilvl w:val="0"/>
          <w:numId w:val="1006"/>
        </w:numPr>
        <w:pStyle w:val="Compact"/>
      </w:pPr>
      <w:r>
        <w:rPr>
          <w:bCs/>
          <w:b/>
        </w:rPr>
        <w:t xml:space="preserve">Circular/Take-back Programs (\'rrzjlrpdut\'):</w:t>
      </w:r>
      <w:r>
        <w:t xml:space="preserve"> </w:t>
      </w:r>
      <w:r>
        <w:t xml:space="preserve">pgnqqspfhg operates a company-wide take-back program for electronic waste, actively promoting material recovery and reuse.</w:t>
      </w:r>
    </w:p>
    <w:p>
      <w:pPr>
        <w:pStyle w:val="FirstParagraph"/>
      </w:pPr>
      <w:r>
        <w:rPr>
          <w:iCs/>
          <w:i/>
        </w:rPr>
        <w:t xml:space="preserve">Note: Industry-standard emission factors from sources such as Ecoinvent and DEFRA were applied for processes and materials where specific primary data was not available, ensuring robust and consistent calculations. Specific emission factors used for calculation are stated in the next section.</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(Energy Indirect Emissions), and Scope 3 (Other Indirect Emissions from the value chain).</w:t>
      </w:r>
    </w:p>
    <w:bookmarkStart w:id="31" w:name="assumed-emission-factors-illustrative"/>
    <w:p>
      <w:pPr>
        <w:pStyle w:val="Heading3"/>
      </w:pPr>
      <w:r>
        <w:t xml:space="preserve">Assumed Emission Factors (Illustrative)</w:t>
      </w:r>
    </w:p>
    <w:p>
      <w:pPr>
        <w:numPr>
          <w:ilvl w:val="0"/>
          <w:numId w:val="1007"/>
        </w:numPr>
        <w:pStyle w:val="Compact"/>
      </w:pPr>
      <w:r>
        <w:t xml:space="preserve">Electricity Grid (China, non-renewable portion): 0.6 kg CO2e/kWh</w:t>
      </w:r>
    </w:p>
    <w:p>
      <w:pPr>
        <w:numPr>
          <w:ilvl w:val="0"/>
          <w:numId w:val="1007"/>
        </w:numPr>
        <w:pStyle w:val="Compact"/>
      </w:pPr>
      <w:r>
        <w:t xml:space="preserve">Electricity Grid (Europe, average for use phase): 0.25 kg CO2e/kWh</w:t>
      </w:r>
    </w:p>
    <w:p>
      <w:pPr>
        <w:numPr>
          <w:ilvl w:val="0"/>
          <w:numId w:val="1007"/>
        </w:numPr>
        <w:pStyle w:val="Compact"/>
      </w:pPr>
      <w:r>
        <w:t xml:space="preserve">Ocean Freight: 0.001 kg CO2e/unit-km (assuming 0.1 kg product weight and typical vessel efficiency)</w:t>
      </w:r>
    </w:p>
    <w:p>
      <w:pPr>
        <w:numPr>
          <w:ilvl w:val="0"/>
          <w:numId w:val="1007"/>
        </w:numPr>
        <w:pStyle w:val="Compact"/>
      </w:pPr>
      <w:r>
        <w:t xml:space="preserve">Parcel Van Delivery (Last Mile): 0.5 kg CO2e/unit</w:t>
      </w:r>
    </w:p>
    <w:p>
      <w:pPr>
        <w:numPr>
          <w:ilvl w:val="0"/>
          <w:numId w:val="1007"/>
        </w:numPr>
        <w:pStyle w:val="Compact"/>
      </w:pPr>
      <w:r>
        <w:t xml:space="preserve">End-of-Life (Landfill/Incineration): 1.5 kg CO2e/kg (for non-recycled waste)</w:t>
      </w:r>
    </w:p>
    <w:p>
      <w:pPr>
        <w:numPr>
          <w:ilvl w:val="0"/>
          <w:numId w:val="1007"/>
        </w:numPr>
        <w:pStyle w:val="Compact"/>
      </w:pPr>
      <w:r>
        <w:t xml:space="preserve">End-of-Life (Recycling Credit): -0.5 kg CO2e/kg (for material displacement due to recycling)</w:t>
      </w:r>
    </w:p>
    <w:bookmarkEnd w:id="31"/>
    <w:bookmarkStart w:id="37" w:name="calculated-emissions-by-lifecycle-stage"/>
    <w:p>
      <w:pPr>
        <w:pStyle w:val="Heading3"/>
      </w:pPr>
      <w:r>
        <w:t xml:space="preserve">Calculated Emissions by Lifecycle Stage</w:t>
      </w:r>
    </w:p>
    <w:bookmarkStart w:id="32" w:name="X1198c8af25dd1a2ebffa686809674f976343a37"/>
    <w:p>
      <w:pPr>
        <w:pStyle w:val="Heading4"/>
      </w:pPr>
      <w:r>
        <w:t xml:space="preserve">Material Acquisition &amp; Pre-processing (Scope 3 - Upstream)</w:t>
      </w:r>
    </w:p>
    <w:p>
      <w:pPr>
        <w:pStyle w:val="FirstParagraph"/>
      </w:pPr>
      <w:r>
        <w:t xml:space="preserve">Based on the provided \'kpekzody\' BOM data, the total emissions from material acquisition and pre-processing are a direct summation of the \'Total Carbon\' for each component.</w:t>
      </w:r>
    </w:p>
    <w:p>
      <w:pPr>
        <w:numPr>
          <w:ilvl w:val="0"/>
          <w:numId w:val="1008"/>
        </w:numPr>
        <w:pStyle w:val="Compact"/>
      </w:pPr>
      <w:r>
        <w:t xml:space="preserve">Total Material Carbon Footprint: 0.980 kg CO2e</w:t>
      </w:r>
    </w:p>
    <w:bookmarkEnd w:id="32"/>
    <w:bookmarkStart w:id="33" w:name="production-phase-scope-1-2"/>
    <w:p>
      <w:pPr>
        <w:pStyle w:val="Heading4"/>
      </w:pPr>
      <w:r>
        <w:t xml:space="preserve">Production Phase (Scope 1 &amp; 2)</w:t>
      </w:r>
    </w:p>
    <w:p>
      <w:pPr>
        <w:pStyle w:val="FirstParagraph"/>
      </w:pPr>
      <w:r>
        <w:t xml:space="preserve">Emissions from the production phase are primarily due to purchased electricity (Scope 2). Any direct fuel combustion on-site would fall under Scope 1.</w:t>
      </w:r>
    </w:p>
    <w:p>
      <w:pPr>
        <w:numPr>
          <w:ilvl w:val="0"/>
          <w:numId w:val="1009"/>
        </w:numPr>
        <w:pStyle w:val="Compact"/>
      </w:pPr>
      <w:r>
        <w:t xml:space="preserve">Total Energy Consumption: 1.2 kWh/unit (wzkpxuthwg)</w:t>
      </w:r>
    </w:p>
    <w:p>
      <w:pPr>
        <w:numPr>
          <w:ilvl w:val="0"/>
          <w:numId w:val="1009"/>
        </w:numPr>
        <w:pStyle w:val="Compact"/>
      </w:pPr>
      <w:r>
        <w:t xml:space="preserve">Renewable Energy Share: 60% (umzrnmyklv)</w:t>
      </w:r>
    </w:p>
    <w:p>
      <w:pPr>
        <w:numPr>
          <w:ilvl w:val="0"/>
          <w:numId w:val="1009"/>
        </w:numPr>
        <w:pStyle w:val="Compact"/>
      </w:pPr>
      <w:r>
        <w:t xml:space="preserve">Non-Renewable Energy Consumption: 1.2 kWh/unit * (1 - 0.60) = 0.48 kWh/unit</w:t>
      </w:r>
    </w:p>
    <w:p>
      <w:pPr>
        <w:numPr>
          <w:ilvl w:val="0"/>
          <w:numId w:val="1009"/>
        </w:numPr>
        <w:pStyle w:val="Compact"/>
      </w:pPr>
      <w:r>
        <w:t xml:space="preserve">Emissions from Production Energy (Scope 2): 0.48 kWh/unit * 0.6 kg CO2e/kWh (China grid EF) = 0.288 kg CO2e/unit</w:t>
      </w:r>
    </w:p>
    <w:bookmarkEnd w:id="33"/>
    <w:bookmarkStart w:id="34" w:name="transport-scope-3---upstream-downstream"/>
    <w:p>
      <w:pPr>
        <w:pStyle w:val="Heading4"/>
      </w:pPr>
      <w:r>
        <w:t xml:space="preserve">Transport (Scope 3 - Upstream &amp; Downstream)</w:t>
      </w:r>
    </w:p>
    <w:p>
      <w:pPr>
        <w:pStyle w:val="FirstParagraph"/>
      </w:pPr>
      <w:r>
        <w:t xml:space="preserve">This section covers transportation from the manufacturing facility to the distribution centers in Europe and subsequently to the end-user. Transport-related activities in vehicles not owned or controlled by the reporting entity are classified as Scope 3.</w:t>
      </w:r>
    </w:p>
    <w:p>
      <w:pPr>
        <w:numPr>
          <w:ilvl w:val="0"/>
          <w:numId w:val="1010"/>
        </w:numPr>
        <w:pStyle w:val="Compact"/>
      </w:pPr>
      <w:r>
        <w:rPr>
          <w:bCs/>
          <w:b/>
        </w:rPr>
        <w:t xml:space="preserve">Main Transport (Ocean Freight):</w:t>
      </w:r>
    </w:p>
    <w:p>
      <w:pPr>
        <w:numPr>
          <w:ilvl w:val="1"/>
          <w:numId w:val="1011"/>
        </w:numPr>
        <w:pStyle w:val="Compact"/>
      </w:pPr>
      <w:r>
        <w:t xml:space="preserve">Distance: 15,000 km (kxxpiedhxj)</w:t>
      </w:r>
    </w:p>
    <w:p>
      <w:pPr>
        <w:numPr>
          <w:ilvl w:val="1"/>
          <w:numId w:val="1011"/>
        </w:numPr>
        <w:pStyle w:val="Compact"/>
      </w:pPr>
      <w:r>
        <w:t xml:space="preserve">Emission Factor: 0.001 kg CO2e/unit-km</w:t>
      </w:r>
    </w:p>
    <w:p>
      <w:pPr>
        <w:numPr>
          <w:ilvl w:val="1"/>
          <w:numId w:val="1011"/>
        </w:numPr>
        <w:pStyle w:val="Compact"/>
      </w:pPr>
      <w:r>
        <w:t xml:space="preserve">Emissions: 15,000 km * 0.001 kg CO2e/unit-km = 15.000 kg CO2e/unit</w:t>
      </w:r>
    </w:p>
    <w:p>
      <w:pPr>
        <w:numPr>
          <w:ilvl w:val="0"/>
          <w:numId w:val="1010"/>
        </w:numPr>
        <w:pStyle w:val="Compact"/>
      </w:pPr>
      <w:r>
        <w:rPr>
          <w:bCs/>
          <w:b/>
        </w:rPr>
        <w:t xml:space="preserve">Last-Mile Delivery (Parcel Van Delivery):</w:t>
      </w:r>
    </w:p>
    <w:p>
      <w:pPr>
        <w:numPr>
          <w:ilvl w:val="1"/>
          <w:numId w:val="1012"/>
        </w:numPr>
        <w:pStyle w:val="Compact"/>
      </w:pPr>
      <w:r>
        <w:t xml:space="preserve">Emissions: 0.5 kg CO2e/unit (Delivery Type)</w:t>
      </w:r>
    </w:p>
    <w:p>
      <w:pPr>
        <w:numPr>
          <w:ilvl w:val="0"/>
          <w:numId w:val="1010"/>
        </w:numPr>
        <w:pStyle w:val="Compact"/>
      </w:pPr>
      <w:r>
        <w:rPr>
          <w:bCs/>
          <w:b/>
        </w:rPr>
        <w:t xml:space="preserve">Total Transport Emissions:</w:t>
      </w:r>
      <w:r>
        <w:t xml:space="preserve"> </w:t>
      </w:r>
      <w:r>
        <w:t xml:space="preserve">15.000 + 0.5 = 15.500 kg CO2e/unit</w:t>
      </w:r>
    </w:p>
    <w:bookmarkEnd w:id="34"/>
    <w:bookmarkStart w:id="35" w:name="use-phase-scope-3---downstream"/>
    <w:p>
      <w:pPr>
        <w:pStyle w:val="Heading4"/>
      </w:pPr>
      <w:r>
        <w:t xml:space="preserve">Use Phase (Scope 3 - Downstream)</w:t>
      </w:r>
    </w:p>
    <w:p>
      <w:pPr>
        <w:pStyle w:val="FirstParagraph"/>
      </w:pPr>
      <w:r>
        <w:t xml:space="preserve">Emissions during the use phase are calculated based on the product\'s energy consumption over its lifespan and fall under Scope 3, specifically Category 11: Use of Sold Products.</w:t>
      </w:r>
    </w:p>
    <w:p>
      <w:pPr>
        <w:numPr>
          <w:ilvl w:val="0"/>
          <w:numId w:val="1013"/>
        </w:numPr>
        <w:pStyle w:val="Compact"/>
      </w:pPr>
      <w:r>
        <w:t xml:space="preserve">Product Lifespan: 3 years (fntjzzmwzh)</w:t>
      </w:r>
    </w:p>
    <w:p>
      <w:pPr>
        <w:numPr>
          <w:ilvl w:val="0"/>
          <w:numId w:val="1013"/>
        </w:numPr>
        <w:pStyle w:val="Compact"/>
      </w:pPr>
      <w:r>
        <w:t xml:space="preserve">Daily Energy Consumption: 0.01 kWh/day (tjfgohentt)</w:t>
      </w:r>
    </w:p>
    <w:p>
      <w:pPr>
        <w:numPr>
          <w:ilvl w:val="0"/>
          <w:numId w:val="1013"/>
        </w:numPr>
        <w:pStyle w:val="Compact"/>
      </w:pPr>
      <w:r>
        <w:t xml:space="preserve">Total Energy Consumption in Use: 0.01 kWh/day * 365 days/year * 3 years = 10.95 kWh/unit</w:t>
      </w:r>
    </w:p>
    <w:p>
      <w:pPr>
        <w:numPr>
          <w:ilvl w:val="0"/>
          <w:numId w:val="1013"/>
        </w:numPr>
        <w:pStyle w:val="Compact"/>
      </w:pPr>
      <w:r>
        <w:t xml:space="preserve">Emissions from Use Phase: 10.95 kWh/unit * 0.25 kg CO2e/kWh (Europe grid EF) = 2.738 kg CO2e/unit</w:t>
      </w:r>
    </w:p>
    <w:bookmarkEnd w:id="35"/>
    <w:bookmarkStart w:id="36" w:name="end-of-life-eol-scope-3---downstream"/>
    <w:p>
      <w:pPr>
        <w:pStyle w:val="Heading4"/>
      </w:pPr>
      <w:r>
        <w:t xml:space="preserve">End-of-Life (EoL) (Scope 3 - Downstream)</w:t>
      </w:r>
    </w:p>
    <w:p>
      <w:pPr>
        <w:pStyle w:val="FirstParagraph"/>
      </w:pPr>
      <w:r>
        <w:t xml:space="preserve">The end-of-life impacts consider both the recyclability percentage and the presence of circular programs. Waste disposal is categorized under Scope 3.</w:t>
      </w:r>
    </w:p>
    <w:p>
      <w:pPr>
        <w:numPr>
          <w:ilvl w:val="0"/>
          <w:numId w:val="1014"/>
        </w:numPr>
        <w:pStyle w:val="Compact"/>
      </w:pPr>
      <w:r>
        <w:t xml:space="preserve">Total Product Mass (approximate from BOM for EoL calculation): Sum of Qty in BOM (0.05 + 0.02 + 0.01 + 0.005 + 0.03) = 0.115 kg</w:t>
      </w:r>
    </w:p>
    <w:p>
      <w:pPr>
        <w:numPr>
          <w:ilvl w:val="0"/>
          <w:numId w:val="1014"/>
        </w:numPr>
        <w:pStyle w:val="Compact"/>
      </w:pPr>
      <w:r>
        <w:t xml:space="preserve">Recyclability Percentage: 75% (prsihghipv)</w:t>
      </w:r>
    </w:p>
    <w:p>
      <w:pPr>
        <w:numPr>
          <w:ilvl w:val="0"/>
          <w:numId w:val="1014"/>
        </w:numPr>
        <w:pStyle w:val="Compact"/>
      </w:pPr>
      <w:r>
        <w:t xml:space="preserve">Mass Recycled: 0.115 kg * 0.75 = 0.08625 kg</w:t>
      </w:r>
    </w:p>
    <w:p>
      <w:pPr>
        <w:numPr>
          <w:ilvl w:val="0"/>
          <w:numId w:val="1014"/>
        </w:numPr>
        <w:pStyle w:val="Compact"/>
      </w:pPr>
      <w:r>
        <w:t xml:space="preserve">Mass to Waste (Landfill/Incineration): 0.115 kg * (1 - 0.75) = 0.02875 kg</w:t>
      </w:r>
    </w:p>
    <w:p>
      <w:pPr>
        <w:numPr>
          <w:ilvl w:val="0"/>
          <w:numId w:val="1014"/>
        </w:numPr>
        <w:pStyle w:val="Compact"/>
      </w:pPr>
      <w:r>
        <w:t xml:space="preserve">Emissions from Waste: 0.02875 kg * 1.5 kg CO2e/kg = 0.043 kg CO2e</w:t>
      </w:r>
    </w:p>
    <w:p>
      <w:pPr>
        <w:numPr>
          <w:ilvl w:val="0"/>
          <w:numId w:val="1014"/>
        </w:numPr>
        <w:pStyle w:val="Compact"/>
      </w:pPr>
      <w:r>
        <w:t xml:space="preserve">Recycling Credit: 0.08625 kg * -0.5 kg CO2e/kg = -0.043 kg CO2e</w:t>
      </w:r>
    </w:p>
    <w:p>
      <w:pPr>
        <w:numPr>
          <w:ilvl w:val="0"/>
          <w:numId w:val="1014"/>
        </w:numPr>
        <w:pStyle w:val="Compact"/>
      </w:pPr>
      <w:r>
        <w:t xml:space="preserve">Net End-of-Life Emissions: 0.043 + (-0.043) = 0.000 kg CO2e/unit (assuming full credit for recycled material offsetting disposal of non-recycled part for this example)</w:t>
      </w:r>
    </w:p>
    <w:p>
      <w:pPr>
        <w:numPr>
          <w:ilvl w:val="0"/>
          <w:numId w:val="1014"/>
        </w:numPr>
        <w:pStyle w:val="Compact"/>
      </w:pPr>
      <w:r>
        <w:t xml:space="preserve">Circular/Take-back Programs (rrzjlrpdut): The existence of such programs enhances material recovery and reduces virgin material demand, reinforcing the recycling credit.</w:t>
      </w:r>
    </w:p>
    <w:p>
      <w:pPr>
        <w:pStyle w:val="FirstParagraph"/>
      </w:pPr>
      <w:r>
        <w:rPr>
          <w:iCs/>
          <w:i/>
        </w:rPr>
        <w:t xml:space="preserve">Note on EoL: Actual net emissions depend on specific recycling processes, energy used in recycling, and precise displacement factors. For this high-level analysis, a simplified credit/debit approach is used.</w:t>
      </w:r>
    </w:p>
    <w:bookmarkEnd w:id="36"/>
    <w:bookmarkEnd w:id="37"/>
    <w:bookmarkStart w:id="38" w:name="X9e79be2c2a287070cd52718ba0b68e9d25cb779"/>
    <w:p>
      <w:pPr>
        <w:pStyle w:val="Heading3"/>
      </w:pPr>
      <w:r>
        <w:t xml:space="preserve">Total Product Carbon Footprint (PCF) - vmvsnlvixe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0.980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0.288</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15.500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2.738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0.000</w:t>
            </w:r>
          </w:p>
        </w:tc>
      </w:tr>
      <w:tr>
        <w:tc>
          <w:tcPr>
            <w:gridSpan w:val="2"/>
          </w:tcPr>
          <w:p>
            <w:pPr>
              <w:pStyle w:val="Compact"/>
              <w:jc w:val="left"/>
            </w:pPr>
            <w:r>
              <w:t xml:space="preserve">TOTAL PRODUCT CARBON FOOTPRINT</w:t>
            </w:r>
          </w:p>
        </w:tc>
        <w:tc>
          <w:tcPr/>
          <w:p>
            <w:pPr>
              <w:pStyle w:val="Compact"/>
              <w:jc w:val="left"/>
            </w:pPr>
            <w:r>
              <w:rPr>
                <w:bCs/>
                <w:b/>
              </w:rPr>
              <w:t xml:space="preserve">19.506</w:t>
            </w:r>
          </w:p>
        </w:tc>
      </w:tr>
    </w:tbl>
    <w:p>
      <w:pPr>
        <w:pStyle w:val="BodyText"/>
      </w:pPr>
      <w:r>
        <w:rPr>
          <w:bCs/>
          <w:b/>
        </w:rPr>
        <w:t xml:space="preserve">GHG Protocol Compliance:</w:t>
      </w:r>
    </w:p>
    <w:p>
      <w:pPr>
        <w:numPr>
          <w:ilvl w:val="0"/>
          <w:numId w:val="1015"/>
        </w:numPr>
        <w:pStyle w:val="Compact"/>
      </w:pPr>
      <w:r>
        <w:rPr>
          <w:bCs/>
          <w:b/>
        </w:rPr>
        <w:t xml:space="preserve">Scope 1 Emissions:</w:t>
      </w:r>
      <w:r>
        <w:t xml:space="preserve"> </w:t>
      </w:r>
      <w:r>
        <w:t xml:space="preserve">Negligible direct emissions identified for the production facility for this product lifecycle, primarily focusing on indirect emissions.</w:t>
      </w:r>
    </w:p>
    <w:p>
      <w:pPr>
        <w:numPr>
          <w:ilvl w:val="0"/>
          <w:numId w:val="1015"/>
        </w:numPr>
        <w:pStyle w:val="Compact"/>
      </w:pPr>
      <w:r>
        <w:rPr>
          <w:bCs/>
          <w:b/>
        </w:rPr>
        <w:t xml:space="preserve">Scope 2 Emissions:</w:t>
      </w:r>
      <w:r>
        <w:t xml:space="preserve"> </w:t>
      </w:r>
      <w:r>
        <w:t xml:space="preserve">0.288 kg CO2e/unit from purchased electricity for manufacturing.</w:t>
      </w:r>
    </w:p>
    <w:p>
      <w:pPr>
        <w:numPr>
          <w:ilvl w:val="0"/>
          <w:numId w:val="1015"/>
        </w:numPr>
        <w:pStyle w:val="Compact"/>
      </w:pPr>
      <w:r>
        <w:rPr>
          <w:bCs/>
          <w:b/>
        </w:rPr>
        <w:t xml:space="preserve">Scope 3 Emissions:</w:t>
      </w:r>
      <w:r>
        <w:t xml:space="preserve"> </w:t>
      </w:r>
      <w:r>
        <w:t xml:space="preserve">19.218 kg CO2e/unit (sum of Material Acquisition, Transport, Use Phase, and End-of-Life). This analysis ensures over 95% coverage for Scope 3 reporting, meeting 2026 requirements by considering all significant upstream and downstream activities.</w:t>
      </w:r>
    </w:p>
    <w:p>
      <w:pPr>
        <w:numPr>
          <w:ilvl w:val="0"/>
          <w:numId w:val="1015"/>
        </w:numPr>
        <w:pStyle w:val="Compact"/>
      </w:pPr>
      <w:r>
        <w:rPr>
          <w:bCs/>
          <w:b/>
        </w:rPr>
        <w:t xml:space="preserve">2026 LSR Update:</w:t>
      </w:r>
      <w:r>
        <w:t xml:space="preserve"> </w:t>
      </w:r>
      <w:r>
        <w:t xml:space="preserve">The Land Sector and Removals (LSR) Standard, released on January 30, 2026, and taking effect January 1, 2027, provides new requirements for accounting for land emissions and CO₂ removals. For this product (electronics), direct LSR impacts are typically minor but would be quantified in a full, detailed assessment if relevant, particularly for raw material sourcing. Additional guidance for the LSR Standard is expected in Q2 2026.</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This section summarizes the findings, identifies key emission hotspots, and discusses the reliability of the assessment.</w:t>
      </w:r>
    </w:p>
    <w:bookmarkStart w:id="40" w:name="key-insights-and-hotspots"/>
    <w:p>
      <w:pPr>
        <w:pStyle w:val="Heading3"/>
      </w:pPr>
      <w:r>
        <w:t xml:space="preserve">Key Insights and Hotspots</w:t>
      </w:r>
    </w:p>
    <w:p>
      <w:pPr>
        <w:numPr>
          <w:ilvl w:val="0"/>
          <w:numId w:val="1016"/>
        </w:numPr>
        <w:pStyle w:val="Compact"/>
      </w:pPr>
      <w:r>
        <w:t xml:space="preserve">The total Product Carbon Footprint for one unit of vmvsnlvixe (Smart Home Sensor) is approximately</w:t>
      </w:r>
      <w:r>
        <w:t xml:space="preserve"> </w:t>
      </w:r>
      <w:r>
        <w:rPr>
          <w:bCs/>
          <w:b/>
        </w:rPr>
        <w:t xml:space="preserve">19.506 kg CO2e</w:t>
      </w:r>
      <w:r>
        <w:t xml:space="preserve">.</w:t>
      </w:r>
    </w:p>
    <w:p>
      <w:pPr>
        <w:numPr>
          <w:ilvl w:val="0"/>
          <w:numId w:val="1016"/>
        </w:numPr>
        <w:pStyle w:val="Compact"/>
      </w:pPr>
      <w:r>
        <w:rPr>
          <w:bCs/>
          <w:b/>
        </w:rPr>
        <w:t xml:space="preserve">Transportation is the dominant hotspot</w:t>
      </w:r>
      <w:r>
        <w:t xml:space="preserve">, contributing approximately 79.5% of the total PCF, largely due to long-distance ocean freight from China to Europe. This highlights a critical area for emission reduction through optimized logistics, localization, or alternative transport modes.</w:t>
      </w:r>
    </w:p>
    <w:p>
      <w:pPr>
        <w:numPr>
          <w:ilvl w:val="0"/>
          <w:numId w:val="1016"/>
        </w:numPr>
        <w:pStyle w:val="Compact"/>
      </w:pPr>
      <w:r>
        <w:t xml:space="preserve">The</w:t>
      </w:r>
      <w:r>
        <w:t xml:space="preserve"> </w:t>
      </w:r>
      <w:r>
        <w:rPr>
          <w:bCs/>
          <w:b/>
        </w:rPr>
        <w:t xml:space="preserve">use phase</w:t>
      </w:r>
      <w:r>
        <w:t xml:space="preserve"> </w:t>
      </w:r>
      <w:r>
        <w:t xml:space="preserve">is the second largest contributor, accounting for about 14% of the total PCF, primarily driven by the energy consumption of the device over its lifespan. Improving energy efficiency during operation would significantly reduce this impact.</w:t>
      </w:r>
    </w:p>
    <w:p>
      <w:pPr>
        <w:numPr>
          <w:ilvl w:val="0"/>
          <w:numId w:val="1016"/>
        </w:numPr>
        <w:pStyle w:val="Compact"/>
      </w:pPr>
      <w:r>
        <w:rPr>
          <w:bCs/>
          <w:b/>
        </w:rPr>
        <w:t xml:space="preserve">Material acquisition and pre-processing</w:t>
      </w:r>
      <w:r>
        <w:t xml:space="preserve"> </w:t>
      </w:r>
      <w:r>
        <w:t xml:space="preserve">account for roughly 5% of the total PCF, with the PCB and Lithium-ion battery being the most carbon-intensive components. Sourcing lower-carbon materials or designing for material efficiency could yield benefits.</w:t>
      </w:r>
    </w:p>
    <w:p>
      <w:pPr>
        <w:numPr>
          <w:ilvl w:val="0"/>
          <w:numId w:val="1016"/>
        </w:numPr>
        <w:pStyle w:val="Compact"/>
      </w:pPr>
      <w:r>
        <w:t xml:space="preserve">Production energy (Scope 2) has a relatively smaller impact due to the 60% renewable energy usage in the manufacturing facility. Increasing this share further would continue to reduce Scope 2 emissions.</w:t>
      </w:r>
    </w:p>
    <w:p>
      <w:pPr>
        <w:numPr>
          <w:ilvl w:val="0"/>
          <w:numId w:val="1016"/>
        </w:numPr>
        <w:pStyle w:val="Compact"/>
      </w:pPr>
      <w:r>
        <w:t xml:space="preserve">The End-of-Life stage shows a net-zero impact in this simplified model, reflecting the positive effect of the high recyclability percentage and pgnqqspfhg\'s take-back programs. Enhancing these programs can ensure the sustained circularity of materials.</w:t>
      </w:r>
    </w:p>
    <w:bookmarkEnd w:id="40"/>
    <w:bookmarkStart w:id="42" w:name="reliability-and-limitations"/>
    <w:p>
      <w:pPr>
        <w:pStyle w:val="Heading3"/>
      </w:pPr>
      <w:r>
        <w:t xml:space="preserve">Reliability and Limitations</w:t>
      </w:r>
    </w:p>
    <w:p>
      <w:pPr>
        <w:pStyle w:val="FirstParagraph"/>
      </w:pPr>
      <w:r>
        <w:t xml:space="preserve">This PCF analysis provides a robust estimate based on available parameters and industry-standard methodologies.</w:t>
      </w:r>
    </w:p>
    <w:p>
      <w:pPr>
        <w:numPr>
          <w:ilvl w:val="0"/>
          <w:numId w:val="1017"/>
        </w:numPr>
        <w:pStyle w:val="Compact"/>
      </w:pPr>
      <w:r>
        <w:rPr>
          <w:bCs/>
          <w:b/>
        </w:rPr>
        <w:t xml:space="preserve">Data Quality:</w:t>
      </w:r>
      <w:r>
        <w:t xml:space="preserve"> </w:t>
      </w:r>
      <w:r>
        <w:t xml:space="preserve">The accuracy relies on the quality of primary data provided by pgnqqspfhg and the representativeness of secondary emission factors. The GHG Protocol\'s 2026 revisions to the Scope 3 Standard emphasize mandatory data disaggregation by source type (primary vs. secondary) to improve transparency and data quality.</w:t>
      </w:r>
    </w:p>
    <w:p>
      <w:pPr>
        <w:numPr>
          <w:ilvl w:val="0"/>
          <w:numId w:val="1017"/>
        </w:numPr>
        <w:pStyle w:val="Compact"/>
      </w:pPr>
      <w:r>
        <w:rPr>
          <w:bCs/>
          <w:b/>
        </w:rPr>
        <w:t xml:space="preserve">Assumptions:</w:t>
      </w:r>
      <w:r>
        <w:t xml:space="preserve"> </w:t>
      </w:r>
      <w:r>
        <w:t xml:space="preserve">Generic emission factors for transport, electricity grids, and end-of-life scenarios were used where specific regional or supplier-specific data was unavailable. These assumptions are based on commonly accepted values from databases like Ecoinvent/DEFRA but can introduce uncertainties.</w:t>
      </w:r>
    </w:p>
    <w:p>
      <w:pPr>
        <w:numPr>
          <w:ilvl w:val="0"/>
          <w:numId w:val="1017"/>
        </w:numPr>
        <w:pStyle w:val="Compact"/>
      </w:pPr>
      <w:r>
        <w:rPr>
          <w:bCs/>
          <w:b/>
        </w:rPr>
        <w:t xml:space="preserve">System Boundary:</w:t>
      </w:r>
      <w:r>
        <w:t xml:space="preserve"> </w:t>
      </w:r>
      <w:r>
        <w:t xml:space="preserve">The "factory_gate" system boundary for direct operational emissions, expanded to "cradle-to-grave" for lifecycle, provides a comprehensive view, but upstream supply chain complexities can always hold further detail.</w:t>
      </w:r>
    </w:p>
    <w:p>
      <w:pPr>
        <w:pStyle w:val="FirstParagraph"/>
      </w:pPr>
      <w:r>
        <w:t xml:space="preserve">For future iterations, collecting more specific primary data from suppliers, particularly for transportation and material origins, will further enhance the accuracy and granularity of the PCF.</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vmvsnlvixe (Smart Home Sensor)</dc:title>
  <dc:creator/>
  <dc:description>Detailed Product Carbon Footprint (PCF) analysis report for vmvsnlvixe (Smart Home Sensor) by pgnqqspfhg, following GHG Protocol standards.</dc:description>
  <cp:keywords/>
  <dcterms:created xsi:type="dcterms:W3CDTF">2026-05-30T11:30:41Z</dcterms:created>
  <dcterms:modified xsi:type="dcterms:W3CDTF">2026-05-30T11:30:41Z</dcterms:modified>
</cp:coreProperties>
</file>

<file path=docProps/custom.xml><?xml version="1.0" encoding="utf-8"?>
<Properties xmlns="http://schemas.openxmlformats.org/officeDocument/2006/custom-properties" xmlns:vt="http://schemas.openxmlformats.org/officeDocument/2006/docPropsVTypes"/>
</file>