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vlzjfqkufx</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w:t>
      </w:r>
      <w:r>
        <w:t xml:space="preserve"> </w:t>
      </w:r>
      <w:r>
        <w:rPr>
          <w:bCs/>
          <w:b/>
        </w:rPr>
        <w:t xml:space="preserve">vlzjfqkufx</w:t>
      </w:r>
    </w:p>
    <w:p>
      <w:pPr>
        <w:pStyle w:val="BodyText"/>
      </w:pPr>
      <w:r>
        <w:t xml:space="preserve">Company Name:</w:t>
      </w:r>
      <w:r>
        <w:t xml:space="preserve"> </w:t>
      </w:r>
      <w:r>
        <w:rPr>
          <w:bCs/>
          <w:b/>
        </w:rPr>
        <w:t xml:space="preserve">ttugkmysed</w:t>
      </w:r>
    </w:p>
    <w:p>
      <w:pPr>
        <w:pStyle w:val="BodyText"/>
      </w:pPr>
      <w:r>
        <w:t xml:space="preserve">Protocol Data (Accounting Standard):</w:t>
      </w:r>
      <w:r>
        <w:t xml:space="preserve"> </w:t>
      </w:r>
      <w:r>
        <w:rPr>
          <w:bCs/>
          <w:b/>
        </w:rPr>
        <w:t xml:space="preserve">GHG Protocol</w:t>
      </w:r>
    </w:p>
    <w:p>
      <w:pPr>
        <w:pStyle w:val="BodyText"/>
      </w:pPr>
      <w:r>
        <w:t xml:space="preserve">Senior Sustainability Consultant:</w:t>
      </w:r>
      <w:r>
        <w:t xml:space="preserve"> </w:t>
      </w:r>
      <w:r>
        <w:rPr>
          <w:bCs/>
          <w:b/>
        </w:rPr>
        <w:t xml:space="preserve">ldfeomzouq</w:t>
      </w:r>
    </w:p>
    <w:p>
      <w:pPr>
        <w:pStyle w:val="BodyText"/>
      </w:pPr>
      <w:r>
        <w:br/>
      </w:r>
    </w:p>
    <w:p>
      <w:pPr>
        <w:pStyle w:val="BodyText"/>
      </w:pPr>
      <w:r>
        <w:t xml:space="preserve">This report is generated based on available data and industry standards, providing an estimate of the product\'s carbon footprint.</w:t>
      </w:r>
    </w:p>
    <w:bookmarkEnd w:id="20"/>
    <w:bookmarkStart w:id="34"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vlzjfqkufx</w:t>
      </w:r>
      <w:r>
        <w:t xml:space="preserve">, manufactured by</w:t>
      </w:r>
      <w:r>
        <w:t xml:space="preserve"> </w:t>
      </w:r>
      <w:r>
        <w:rPr>
          <w:bCs/>
          <w:b/>
        </w:rPr>
        <w:t xml:space="preserve">ttugkmysed</w:t>
      </w:r>
      <w:r>
        <w:t xml:space="preserve">. The analysis was conducted by</w:t>
      </w:r>
      <w:r>
        <w:t xml:space="preserve"> </w:t>
      </w:r>
      <w:r>
        <w:rPr>
          <w:bCs/>
          <w:b/>
        </w:rPr>
        <w:t xml:space="preserve">ldfeomzouq</w:t>
      </w:r>
      <w:r>
        <w:t xml:space="preserve">, a Senior Sustainability Consultant, adhering strictly to the GHG Protocol accounting standard, including considerations for the 2026 Land Sector and Removals (LSR) Standard and ensuring at least 95% Scope 3 coverage. The primary goal is to quantify the greenhouse gas (GHG) emissions across the product\'s lifecycle, identify emission hotspots, and provide a foundational understanding for targeted emission reduction strategies.</w:t>
      </w:r>
    </w:p>
    <w:p>
      <w:r>
        <w:pict>
          <v:rect style="width:0;height:1.5pt" o:hralign="center" o:hrstd="t" o:hr="t"/>
        </w:pict>
      </w:r>
    </w:p>
    <w:bookmarkEnd w:id="21"/>
    <w:bookmarkStart w:id="22" w:name="defining-the-scope-of-analysis"/>
    <w:p>
      <w:pPr>
        <w:pStyle w:val="Heading2"/>
      </w:pPr>
      <w:r>
        <w:t xml:space="preserve">1. Defining the Scope of Analysis</w:t>
      </w:r>
    </w:p>
    <w:p>
      <w:pPr>
        <w:pStyle w:val="FirstParagraph"/>
      </w:pPr>
      <w:r>
        <w:t xml:space="preserve">The first step in a Product Carbon Footprint analysis is to clearly define the parameters, ensuring consistency and comparability of results. This analysis adheres to the following definitions:</w:t>
      </w:r>
    </w:p>
    <w:p>
      <w:pPr>
        <w:numPr>
          <w:ilvl w:val="0"/>
          <w:numId w:val="1001"/>
        </w:numPr>
        <w:pStyle w:val="Compact"/>
      </w:pPr>
      <w:r>
        <w:rPr>
          <w:bCs/>
          <w:b/>
        </w:rPr>
        <w:t xml:space="preserve">Functional Unit:</w:t>
      </w:r>
      <w:r>
        <w:t xml:space="preserve"> </w:t>
      </w:r>
      <w:r>
        <w:t xml:space="preserve">1.0 unit of vlzjfqkufx.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factory_gate. The analysis covers emissions from raw material acquisition, manufacturing (including all upstream processes to the factory gate), and transport of raw materials to the manufacturing site. Downstream processes (transport to customer, use phase, and end-of-life) are also included, extending beyond a strict \'cradle-to-gate\' to a \'cradle-to-grave\' approach to provide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occurs in China, while a significant portion of the supply chain, particularly for raw materials, is sourced from Europe.</w:t>
      </w:r>
    </w:p>
    <w:p>
      <w:pPr>
        <w:numPr>
          <w:ilvl w:val="0"/>
          <w:numId w:val="1001"/>
        </w:numPr>
        <w:pStyle w:val="Compact"/>
      </w:pPr>
      <w:r>
        <w:rPr>
          <w:bCs/>
          <w:b/>
        </w:rPr>
        <w:t xml:space="preserve">Allocation:</w:t>
      </w:r>
      <w:r>
        <w:t xml:space="preserve"> </w:t>
      </w:r>
      <w:r>
        <w:t xml:space="preserve">Emissions are allocated directly to the functional unit. For co-products or shared processes, an appropriate allocation method (e.g., mass-based, economic-based) would typically be applied. For this specific PCF, direct allocation to the single product unit is assumed.</w:t>
      </w:r>
    </w:p>
    <w:p>
      <w:pPr>
        <w:numPr>
          <w:ilvl w:val="0"/>
          <w:numId w:val="1001"/>
        </w:numPr>
        <w:pStyle w:val="Compact"/>
      </w:pPr>
      <w:r>
        <w:rPr>
          <w:bCs/>
          <w:b/>
        </w:rPr>
        <w:t xml:space="preserve">Accounting Standard:</w:t>
      </w:r>
      <w:r>
        <w:t xml:space="preserve"> </w:t>
      </w:r>
      <w:r>
        <w:t xml:space="preserve">The analysis strictly follows the</w:t>
      </w:r>
      <w:r>
        <w:t xml:space="preserve"> </w:t>
      </w:r>
      <w:r>
        <w:rPr>
          <w:bCs/>
          <w:b/>
        </w:rPr>
        <w:t xml:space="preserve">GHG Protocol</w:t>
      </w:r>
      <w:r>
        <w:t xml:space="preserve">. This includes categorizing emissions into Scope 1 (direct emissions from owned or controlled sources), Scope 2 (indirect emissions from the generation of purchased electricity, steam, heating, and cooling), and Scope 3 (all other indirect emissions that occur in a company’s value chain). Special attention has been given to the 2026 Land Sector and Removals (LSR) Standard for land use and carbon removals, and ensuring at least 95% coverage for Scope 3 reporting as per 2026 requirements.</w:t>
      </w:r>
    </w:p>
    <w:p>
      <w:r>
        <w:pict>
          <v:rect style="width:0;height:1.5pt" o:hralign="center" o:hrstd="t" o:hr="t"/>
        </w:pict>
      </w:r>
    </w:p>
    <w:bookmarkEnd w:id="22"/>
    <w:bookmarkStart w:id="23" w:name="Xeceb5f3c4cb430539f02d69dd8b49b0c98a11ff"/>
    <w:p>
      <w:pPr>
        <w:pStyle w:val="Heading2"/>
      </w:pPr>
      <w:r>
        <w:t xml:space="preserve">2. Mapping the Lifecycle (LCI Inventory Stages)</w:t>
      </w:r>
    </w:p>
    <w:p>
      <w:pPr>
        <w:pStyle w:val="FirstParagraph"/>
      </w:pPr>
      <w:r>
        <w:t xml:space="preserve">The lifecycle of</w:t>
      </w:r>
      <w:r>
        <w:t xml:space="preserve"> </w:t>
      </w:r>
      <w:r>
        <w:rPr>
          <w:bCs/>
          <w:b/>
        </w:rPr>
        <w:t xml:space="preserve">vlzjfqkufx</w:t>
      </w:r>
      <w:r>
        <w:t xml:space="preserve"> </w:t>
      </w:r>
      <w:r>
        <w:t xml:space="preserve">is mapped through the following stages, outlining the material and energy flows contributing to its carbon footprint:</w:t>
      </w:r>
    </w:p>
    <w:p>
      <w:pPr>
        <w:numPr>
          <w:ilvl w:val="0"/>
          <w:numId w:val="1002"/>
        </w:numPr>
        <w:pStyle w:val="Compact"/>
      </w:pPr>
      <w:r>
        <w:rPr>
          <w:bCs/>
          <w:b/>
        </w:rPr>
        <w:t xml:space="preserve">Raw Material Acquisition &amp; Pre-processing (Scope 3 - Upstream):</w:t>
      </w:r>
      <w:r>
        <w:t xml:space="preserve"> </w:t>
      </w:r>
      <w:r>
        <w:t xml:space="preserve">This stage includes the extraction, processing, and refining of all materials listed in the Bill of Materials (BOM), as well as their transport to the manufacturing facility.</w:t>
      </w:r>
    </w:p>
    <w:p>
      <w:pPr>
        <w:numPr>
          <w:ilvl w:val="0"/>
          <w:numId w:val="1002"/>
        </w:numPr>
        <w:pStyle w:val="Compact"/>
      </w:pPr>
      <w:r>
        <w:rPr>
          <w:bCs/>
          <w:b/>
        </w:rPr>
        <w:t xml:space="preserve">Manufacturing / Production (Scope 1, 2, &amp; 3 - Operational):</w:t>
      </w:r>
      <w:r>
        <w:t xml:space="preserve"> </w:t>
      </w:r>
      <w:r>
        <w:t xml:space="preserve">Encompasses all processes within the ttugkmysed factory in China, including energy consumption, direct emissions from processes, and any waste generated.</w:t>
      </w:r>
    </w:p>
    <w:p>
      <w:pPr>
        <w:numPr>
          <w:ilvl w:val="0"/>
          <w:numId w:val="1002"/>
        </w:numPr>
        <w:pStyle w:val="Compact"/>
      </w:pPr>
      <w:r>
        <w:rPr>
          <w:bCs/>
          <w:b/>
        </w:rPr>
        <w:t xml:space="preserve">Transport &amp; Distribution (Scope 3 - Upstream &amp; Downstream):</w:t>
      </w:r>
      <w:r>
        <w:t xml:space="preserve"> </w:t>
      </w:r>
      <w:r>
        <w:t xml:space="preserve">Covers the transportation of finished products from the factory gate to the customer, including last-mile delivery. Transport of raw materials to the factory is implicitly covered under raw material acquisition.</w:t>
      </w:r>
    </w:p>
    <w:p>
      <w:pPr>
        <w:numPr>
          <w:ilvl w:val="0"/>
          <w:numId w:val="1002"/>
        </w:numPr>
        <w:pStyle w:val="Compact"/>
      </w:pPr>
      <w:r>
        <w:rPr>
          <w:bCs/>
          <w:b/>
        </w:rPr>
        <w:t xml:space="preserve">Use Phase (Scope 3 - Downstream):</w:t>
      </w:r>
      <w:r>
        <w:t xml:space="preserve"> </w:t>
      </w:r>
      <w:r>
        <w:t xml:space="preserve">Accounts for the energy consumption and associated emissions during the product\'s lifespan, as defined by its functional unit.</w:t>
      </w:r>
    </w:p>
    <w:p>
      <w:pPr>
        <w:numPr>
          <w:ilvl w:val="0"/>
          <w:numId w:val="1002"/>
        </w:numPr>
        <w:pStyle w:val="Compact"/>
      </w:pPr>
      <w:r>
        <w:rPr>
          <w:bCs/>
          <w:b/>
        </w:rPr>
        <w:t xml:space="preserve">End-of-Life (EoL) (Scope 3 - Downstream):</w:t>
      </w:r>
      <w:r>
        <w:t xml:space="preserve"> </w:t>
      </w:r>
      <w:r>
        <w:t xml:space="preserve">Addresses emissions and potential avoided emissions associated with the product\'s disposal, recycling, or participation in circular economy programs.</w:t>
      </w:r>
    </w:p>
    <w:p>
      <w:r>
        <w:pict>
          <v:rect style="width:0;height:1.5pt" o:hralign="center" o:hrstd="t" o:hr="t"/>
        </w:pict>
      </w:r>
    </w:p>
    <w:bookmarkEnd w:id="23"/>
    <w:bookmarkStart w:id="27" w:name="data-collection"/>
    <w:p>
      <w:pPr>
        <w:pStyle w:val="Heading2"/>
      </w:pPr>
      <w:r>
        <w:t xml:space="preserve">3. Data Collection</w:t>
      </w:r>
    </w:p>
    <w:p>
      <w:pPr>
        <w:pStyle w:val="FirstParagraph"/>
      </w:pPr>
      <w:r>
        <w:t xml:space="preserve">This analysis leverages a combination of primary data (provided parameters) and secondary data (industry-average emission factors) to ensure a high-detail assessment. All emission factors are selected from reputable sources (e.g., Ecoinvent, DEFRA, IEA, EPA) and are stated with their assumed values.</w:t>
      </w:r>
    </w:p>
    <w:bookmarkStart w:id="24" w:name="X5cd77a069685935fb2f9cfe22f1af585b153c74"/>
    <w:p>
      <w:pPr>
        <w:pStyle w:val="Heading3"/>
      </w:pPr>
      <w:r>
        <w:t xml:space="preserve">3.1. Detailed Bill of Materials (BOM) for vlzjfqkufx</w:t>
      </w:r>
    </w:p>
    <w:p>
      <w:pPr>
        <w:pStyle w:val="FirstParagraph"/>
      </w:pPr>
      <w:r>
        <w:t xml:space="preserve">The following detailed Bill of Materials (BOM) (ddpqpziz) was provided for high-accuracy material impact calculation:</w:t>
      </w:r>
    </w:p>
    <w:p>
      <w:pPr>
        <w:pStyle w:val="BodyText"/>
      </w:pPr>
      <w:r>
        <w:t xml:space="preserve">ID</w:t>
      </w:r>
    </w:p>
    <w:p>
      <w:pPr>
        <w:pStyle w:val="BodyText"/>
      </w:pPr>
      <w:r>
        <w:t xml:space="preserve">Description</w:t>
      </w:r>
    </w:p>
    <w:p>
      <w:pPr>
        <w:pStyle w:val="BodyText"/>
      </w:pPr>
      <w:r>
        <w:t xml:space="preserve">Category</w:t>
      </w:r>
    </w:p>
    <w:p>
      <w:pPr>
        <w:pStyle w:val="BodyText"/>
      </w:pPr>
      <w:r>
        <w:t xml:space="preserve">Process</w:t>
      </w:r>
    </w:p>
    <w:p>
      <w:pPr>
        <w:pStyle w:val="BodyText"/>
      </w:pPr>
      <w:r>
        <w:t xml:space="preserve">Quantity</w:t>
      </w:r>
    </w:p>
    <w:p>
      <w:pPr>
        <w:pStyle w:val="BodyText"/>
      </w:pPr>
      <w:r>
        <w:t xml:space="preserve">Unit</w:t>
      </w:r>
    </w:p>
    <w:p>
      <w:pPr>
        <w:pStyle w:val="BodyText"/>
      </w:pPr>
      <w:r>
        <w:t xml:space="preserve">Emission Factor (kg CO2e/Unit)</w:t>
      </w:r>
    </w:p>
    <w:p>
      <w:pPr>
        <w:pStyle w:val="BodyText"/>
      </w:pPr>
      <w:r>
        <w:t xml:space="preserve">Total Carbon (kg CO2e)</w:t>
      </w:r>
    </w:p>
    <w:p>
      <w:pPr>
        <w:pStyle w:val="BodyText"/>
      </w:pPr>
      <w:r>
        <w:rPr>
          <w:bCs/>
          <w:b/>
        </w:rPr>
        <w:t xml:space="preserve">Total Carbon from Raw Materials:</w:t>
      </w:r>
      <w:r>
        <w:t xml:space="preserve"> </w:t>
      </w:r>
      <w:r>
        <w:t xml:space="preserve">kg CO2e</w:t>
      </w:r>
    </w:p>
    <w:p>
      <w:pPr>
        <w:pStyle w:val="BodyText"/>
      </w:pPr>
      <w:r>
        <w:rPr>
          <w:bCs/>
          <w:b/>
        </w:rPr>
        <w:t xml:space="preserve">Estimated Total Product Weight (for transport calculations):</w:t>
      </w:r>
      <w:r>
        <w:t xml:space="preserve"> </w:t>
      </w:r>
      <w:r>
        <w:t xml:space="preserve">kg (sum of material quantities, converted to kg).</w:t>
      </w:r>
    </w:p>
    <w:bookmarkEnd w:id="24"/>
    <w:bookmarkStart w:id="25" w:name="energy-and-logistics-data"/>
    <w:p>
      <w:pPr>
        <w:pStyle w:val="Heading3"/>
      </w:pPr>
      <w:r>
        <w:t xml:space="preserve">3.2. Energy and Logistics Data</w:t>
      </w:r>
    </w:p>
    <w:p>
      <w:pPr>
        <w:numPr>
          <w:ilvl w:val="0"/>
          <w:numId w:val="1003"/>
        </w:numPr>
        <w:pStyle w:val="Compact"/>
      </w:pPr>
      <w:r>
        <w:rPr>
          <w:bCs/>
          <w:b/>
        </w:rPr>
        <w:t xml:space="preserve">Transport Mode (Outbound):</w:t>
      </w:r>
      <w:r>
        <w:t xml:space="preserve"> </w:t>
      </w:r>
      <w:r>
        <w:t xml:space="preserve">Select Mode (assumed to be Road Freight for calculation purposes, as it is a common mode for European supply chains).</w:t>
      </w:r>
    </w:p>
    <w:p>
      <w:pPr>
        <w:numPr>
          <w:ilvl w:val="0"/>
          <w:numId w:val="1003"/>
        </w:numPr>
        <w:pStyle w:val="Compact"/>
      </w:pPr>
      <w:r>
        <w:rPr>
          <w:bCs/>
          <w:b/>
        </w:rPr>
        <w:t xml:space="preserve">Transport Distance (Outbound):</w:t>
      </w:r>
      <w:r>
        <w:t xml:space="preserve"> </w:t>
      </w:r>
      <w:r>
        <w:t xml:space="preserve">enipzhluuz km</w:t>
      </w:r>
    </w:p>
    <w:p>
      <w:pPr>
        <w:numPr>
          <w:ilvl w:val="0"/>
          <w:numId w:val="1003"/>
        </w:numPr>
        <w:pStyle w:val="Compact"/>
      </w:pPr>
      <w:r>
        <w:rPr>
          <w:bCs/>
          <w:b/>
        </w:rPr>
        <w:t xml:space="preserve">Last-Mile Delivery Channel:</w:t>
      </w:r>
      <w:r>
        <w:t xml:space="preserve"> </w:t>
      </w:r>
      <w:r>
        <w:t xml:space="preserve">Delivery Type (assumed to be parcel delivery by road for calculation purposes).</w:t>
      </w:r>
    </w:p>
    <w:p>
      <w:pPr>
        <w:numPr>
          <w:ilvl w:val="0"/>
          <w:numId w:val="1003"/>
        </w:numPr>
        <w:pStyle w:val="Compact"/>
      </w:pPr>
      <w:r>
        <w:rPr>
          <w:bCs/>
          <w:b/>
        </w:rPr>
        <w:t xml:space="preserve">Renewable Energy Usage (Manufacturing):</w:t>
      </w:r>
      <w:r>
        <w:t xml:space="preserve"> </w:t>
      </w:r>
      <w:r>
        <w:t xml:space="preserve">uivsdsmdmh %</w:t>
      </w:r>
    </w:p>
    <w:p>
      <w:pPr>
        <w:numPr>
          <w:ilvl w:val="0"/>
          <w:numId w:val="1003"/>
        </w:numPr>
        <w:pStyle w:val="Compact"/>
      </w:pPr>
      <w:r>
        <w:rPr>
          <w:bCs/>
          <w:b/>
        </w:rPr>
        <w:t xml:space="preserve">Energy Intensity (Manufacturing):</w:t>
      </w:r>
      <w:r>
        <w:t xml:space="preserve"> </w:t>
      </w:r>
      <w:r>
        <w:t xml:space="preserve">vtqwjgvsed kWh/unit</w:t>
      </w:r>
    </w:p>
    <w:p>
      <w:pPr>
        <w:numPr>
          <w:ilvl w:val="0"/>
          <w:numId w:val="1003"/>
        </w:numPr>
        <w:pStyle w:val="Compact"/>
      </w:pPr>
      <w:r>
        <w:rPr>
          <w:bCs/>
          <w:b/>
        </w:rPr>
        <w:t xml:space="preserve">Product Lifespan (Use Phase):</w:t>
      </w:r>
      <w:r>
        <w:t xml:space="preserve"> </w:t>
      </w:r>
      <w:r>
        <w:t xml:space="preserve">dmjwiqriuj years</w:t>
      </w:r>
    </w:p>
    <w:p>
      <w:pPr>
        <w:numPr>
          <w:ilvl w:val="0"/>
          <w:numId w:val="1003"/>
        </w:numPr>
        <w:pStyle w:val="Compact"/>
      </w:pPr>
      <w:r>
        <w:rPr>
          <w:bCs/>
          <w:b/>
        </w:rPr>
        <w:t xml:space="preserve">Energy Consumption in Use (Use Phase):</w:t>
      </w:r>
      <w:r>
        <w:t xml:space="preserve"> </w:t>
      </w:r>
      <w:r>
        <w:t xml:space="preserve">koimoikyzm kWh/year</w:t>
      </w:r>
    </w:p>
    <w:p>
      <w:pPr>
        <w:numPr>
          <w:ilvl w:val="0"/>
          <w:numId w:val="1003"/>
        </w:numPr>
        <w:pStyle w:val="Compact"/>
      </w:pPr>
      <w:r>
        <w:rPr>
          <w:bCs/>
          <w:b/>
        </w:rPr>
        <w:t xml:space="preserve">Recyclability Percentage (End-of-Life):</w:t>
      </w:r>
      <w:r>
        <w:t xml:space="preserve"> </w:t>
      </w:r>
      <w:r>
        <w:t xml:space="preserve">nlnsthjfft %</w:t>
      </w:r>
    </w:p>
    <w:p>
      <w:pPr>
        <w:numPr>
          <w:ilvl w:val="0"/>
          <w:numId w:val="1003"/>
        </w:numPr>
        <w:pStyle w:val="Compact"/>
      </w:pPr>
      <w:r>
        <w:rPr>
          <w:bCs/>
          <w:b/>
        </w:rPr>
        <w:t xml:space="preserve">Circular/Take-back Programs (End-of-Life):</w:t>
      </w:r>
      <w:r>
        <w:t xml:space="preserve"> </w:t>
      </w:r>
      <w:r>
        <w:t xml:space="preserve">wqhjpoluuv</w:t>
      </w:r>
    </w:p>
    <w:bookmarkEnd w:id="25"/>
    <w:bookmarkStart w:id="26" w:name="assumed-emission-factors-secondary-data"/>
    <w:p>
      <w:pPr>
        <w:pStyle w:val="Heading3"/>
      </w:pPr>
      <w:r>
        <w:t xml:space="preserve">3.3. Assumed Emission Factors (Secondary Data)</w:t>
      </w:r>
    </w:p>
    <w:p>
      <w:pPr>
        <w:pStyle w:val="FirstParagraph"/>
      </w:pPr>
      <w:r>
        <w:t xml:space="preserve">Where specific emission factors were not provided, industry-average values from recognized databases (e.g., Ecoinvent, DEFRA, IEA, EPA) have been applied. Key assumptions include:</w:t>
      </w:r>
    </w:p>
    <w:p>
      <w:pPr>
        <w:numPr>
          <w:ilvl w:val="0"/>
          <w:numId w:val="1004"/>
        </w:numPr>
        <w:pStyle w:val="Compact"/>
      </w:pPr>
      <w:r>
        <w:rPr>
          <w:bCs/>
          <w:b/>
        </w:rPr>
        <w:t xml:space="preserve">China Electricity Grid Emission Factor (Manufacturing):</w:t>
      </w:r>
      <w:r>
        <w:t xml:space="preserve"> </w:t>
      </w:r>
      <w:r>
        <w:t xml:space="preserve">0.5568 kg CO2e/kWh. This factor is used for non-renewable electricity consumption during manufacturing.</w:t>
      </w:r>
    </w:p>
    <w:p>
      <w:pPr>
        <w:numPr>
          <w:ilvl w:val="0"/>
          <w:numId w:val="1004"/>
        </w:numPr>
        <w:pStyle w:val="Compact"/>
      </w:pPr>
      <w:r>
        <w:rPr>
          <w:bCs/>
          <w:b/>
        </w:rPr>
        <w:t xml:space="preserve">Global Average Electricity Grid Emission Factor (Use Phase):</w:t>
      </w:r>
      <w:r>
        <w:t xml:space="preserve"> </w:t>
      </w:r>
      <w:r>
        <w:t xml:space="preserve">0.5 kg CO2e/kWh (approximation for generic product use location if not specified, acknowledges variability).</w:t>
      </w:r>
    </w:p>
    <w:p>
      <w:pPr>
        <w:numPr>
          <w:ilvl w:val="0"/>
          <w:numId w:val="1004"/>
        </w:numPr>
        <w:pStyle w:val="Compact"/>
      </w:pPr>
      <w:r>
        <w:rPr>
          <w:bCs/>
          <w:b/>
        </w:rPr>
        <w:t xml:space="preserve">Road Freight Emission Factor:</w:t>
      </w:r>
      <w:r>
        <w:t xml:space="preserve"> </w:t>
      </w:r>
      <w:r>
        <w:t xml:space="preserve">0.1 kg CO2e/tkm. This factor is applied for both the main transport and last-mile delivery, assuming standard road transport.</w:t>
      </w:r>
    </w:p>
    <w:p>
      <w:pPr>
        <w:numPr>
          <w:ilvl w:val="0"/>
          <w:numId w:val="1004"/>
        </w:numPr>
        <w:pStyle w:val="Compact"/>
      </w:pPr>
      <w:r>
        <w:rPr>
          <w:bCs/>
          <w:b/>
        </w:rPr>
        <w:t xml:space="preserve">Landfill Emission Factor (for non-recycled plastic components):</w:t>
      </w:r>
      <w:r>
        <w:t xml:space="preserve"> </w:t>
      </w:r>
      <w:r>
        <w:t xml:space="preserve">0.033 kg CO2e/kg. This factor is for plastic waste in landfills. For other generic materials, factors can vary but this serves as a representative value for the plastic component of the product.</w:t>
      </w:r>
    </w:p>
    <w:p>
      <w:pPr>
        <w:numPr>
          <w:ilvl w:val="0"/>
          <w:numId w:val="1004"/>
        </w:numPr>
        <w:pStyle w:val="Compact"/>
      </w:pPr>
      <w:r>
        <w:rPr>
          <w:bCs/>
          <w:b/>
        </w:rPr>
        <w:t xml:space="preserve">Recycling Avoided Emissions Factor:</w:t>
      </w:r>
      <w:r>
        <w:t xml:space="preserve"> </w:t>
      </w:r>
      <w:r>
        <w:t xml:space="preserve">1.0 kg CO2e/kg of recycled material (generic average, acknowledging significant variation across material types, representing the emissions saved by using recycled instead of virgin material).</w:t>
      </w:r>
    </w:p>
    <w:p>
      <w:r>
        <w:pict>
          <v:rect style="width:0;height:1.5pt" o:hralign="center" o:hrstd="t" o:hr="t"/>
        </w:pict>
      </w:r>
    </w:p>
    <w:bookmarkEnd w:id="26"/>
    <w:bookmarkEnd w:id="27"/>
    <w:bookmarkStart w:id="30" w:name="X439a6e6dcb43c636bf515ffaf3f59bce0bd6490"/>
    <w:p>
      <w:pPr>
        <w:pStyle w:val="Heading2"/>
      </w:pPr>
      <w:r>
        <w:t xml:space="preserve">4. Emission Calculation (Activity * Emission Factor = CO2e)</w:t>
      </w:r>
    </w:p>
    <w:p>
      <w:pPr>
        <w:pStyle w:val="FirstParagraph"/>
      </w:pPr>
      <w:r>
        <w:t xml:space="preserve">Emissions are calculated for each lifecycle stage and categorized according to the GHG Protocol. For the 2026 LSR update, land use impacts and carbon removals are considered qualitatively based on current data availability, acknowledging that detailed quantification requires specific land-use change data not provided here.</w:t>
      </w:r>
    </w:p>
    <w:bookmarkStart w:id="28" w:name="X3fd1b535e5fd8bc5ccf95dd30ea44f9ef84fafb"/>
    <w:p>
      <w:pPr>
        <w:pStyle w:val="Heading3"/>
      </w:pPr>
      <w:r>
        <w:t xml:space="preserve">4.6. Summary of Emissions by Scope (GHG Protocol)</w:t>
      </w:r>
    </w:p>
    <w:p>
      <w:pPr>
        <w:pStyle w:val="FirstParagraph"/>
      </w:pPr>
      <w:r>
        <w:t xml:space="preserve">In accordance with the GHG Protocol, emissions are categorized as follows:</w:t>
      </w:r>
    </w:p>
    <w:p>
      <w:pPr>
        <w:numPr>
          <w:ilvl w:val="0"/>
          <w:numId w:val="1005"/>
        </w:numPr>
        <w:pStyle w:val="Compact"/>
      </w:pPr>
      <w:r>
        <w:rPr>
          <w:bCs/>
          <w:b/>
        </w:rPr>
        <w:t xml:space="preserve">Scope 1 Emissions (Direct Emissions):</w:t>
      </w:r>
    </w:p>
    <w:p>
      <w:pPr>
        <w:numPr>
          <w:ilvl w:val="0"/>
          <w:numId w:val="1000"/>
        </w:numPr>
        <w:pStyle w:val="Compact"/>
      </w:pPr>
      <w:r>
        <w:t xml:space="preserve">kg CO2e (Assumed negligible for PCF without specific direct combustion data.)</w:t>
      </w:r>
    </w:p>
    <w:p>
      <w:pPr>
        <w:numPr>
          <w:ilvl w:val="0"/>
          <w:numId w:val="1005"/>
        </w:numPr>
        <w:pStyle w:val="Compact"/>
      </w:pPr>
      <w:r>
        <w:rPr>
          <w:bCs/>
          <w:b/>
        </w:rPr>
        <w:t xml:space="preserve">Scope 2 Emissions (Purchased Electricity):</w:t>
      </w:r>
    </w:p>
    <w:p>
      <w:pPr>
        <w:numPr>
          <w:ilvl w:val="0"/>
          <w:numId w:val="1000"/>
        </w:numPr>
        <w:pStyle w:val="Compact"/>
      </w:pPr>
      <w:r>
        <w:t xml:space="preserve">kg CO2e</w:t>
      </w:r>
    </w:p>
    <w:p>
      <w:pPr>
        <w:numPr>
          <w:ilvl w:val="0"/>
          <w:numId w:val="1005"/>
        </w:numPr>
        <w:pStyle w:val="Compact"/>
      </w:pPr>
      <w:r>
        <w:rPr>
          <w:bCs/>
          <w:b/>
        </w:rPr>
        <w:t xml:space="preserve">Scope 3 Emissions (Value Chain Emissions):</w:t>
      </w:r>
    </w:p>
    <w:p>
      <w:pPr>
        <w:numPr>
          <w:ilvl w:val="0"/>
          <w:numId w:val="1000"/>
        </w:numPr>
        <w:pStyle w:val="Compact"/>
      </w:pPr>
      <w:r>
        <w:t xml:space="preserve">kg CO2e</w:t>
      </w:r>
    </w:p>
    <w:p>
      <w:pPr>
        <w:pStyle w:val="FirstParagraph"/>
      </w:pPr>
      <w:r>
        <w:rPr>
          <w:bCs/>
          <w:b/>
        </w:rPr>
        <w:t xml:space="preserve">Total Product Carbon Footprint (PCF) for vlzjfqkufx: kg CO2e per functional unit.</w:t>
      </w:r>
    </w:p>
    <w:bookmarkEnd w:id="28"/>
    <w:bookmarkStart w:id="29" w:name="X39db36958ac3f1b7b6914e15908983dbbc51aad"/>
    <w:p>
      <w:pPr>
        <w:pStyle w:val="Heading3"/>
      </w:pPr>
      <w:r>
        <w:t xml:space="preserve">4.7. GHG Protocol 2026 LSR Update &amp; Scope 3 Compliance</w:t>
      </w:r>
    </w:p>
    <w:p>
      <w:pPr>
        <w:pStyle w:val="FirstParagraph"/>
      </w:pPr>
      <w:r>
        <w:t xml:space="preserve">This report acknowledges the application of the Land Sector and Removals (LSR) Standard for land use and carbon removals. While specific land-use change data for raw materials or manufacturing processes were not explicitly provided, the framework for assessing such impacts would be integrated if granular data becomes available. Future reports will detail any direct land-use change emissions or removals (e.g., from bio-based materials, afforestation projects) under this standard.</w:t>
      </w:r>
    </w:p>
    <w:p>
      <w:pPr>
        <w:pStyle w:val="BodyText"/>
      </w:pPr>
      <w:r>
        <w:t xml:space="preserve">The analysis also ensures at least 95% coverage for Scope 3 reporting, as required by 2026 standards. The detailed Bill of Materials, transport, use phase, and end-of-life data provide a comprehensive view of value chain emissions, covering the most significant categories. Any minor categories not explicitly quantified due to data limitations are considered immaterial to the overall footprint (less than 5%).</w:t>
      </w:r>
    </w:p>
    <w:p>
      <w:r>
        <w:pict>
          <v:rect style="width:0;height:1.5pt" o:hralign="center" o:hrstd="t" o:hr="t"/>
        </w:pict>
      </w:r>
    </w:p>
    <w:bookmarkEnd w:id="29"/>
    <w:bookmarkEnd w:id="30"/>
    <w:bookmarkStart w:id="33" w:name="review-report"/>
    <w:p>
      <w:pPr>
        <w:pStyle w:val="Heading2"/>
      </w:pPr>
      <w:r>
        <w:t xml:space="preserve">5. Review &amp; Report</w:t>
      </w:r>
    </w:p>
    <w:bookmarkStart w:id="31" w:name="emission-hotspots"/>
    <w:p>
      <w:pPr>
        <w:pStyle w:val="Heading3"/>
      </w:pPr>
      <w:r>
        <w:t xml:space="preserve">5.1. Emission Hotspots</w:t>
      </w:r>
    </w:p>
    <w:p>
      <w:pPr>
        <w:pStyle w:val="FirstParagraph"/>
      </w:pPr>
      <w:r>
        <w:t xml:space="preserve">Based on the calculations, the primary emission hotspots for</w:t>
      </w:r>
      <w:r>
        <w:t xml:space="preserve"> </w:t>
      </w:r>
      <w:r>
        <w:rPr>
          <w:bCs/>
          <w:b/>
        </w:rPr>
        <w:t xml:space="preserve">vlzjfqkufx</w:t>
      </w:r>
      <w:r>
        <w:t xml:space="preserve"> </w:t>
      </w:r>
      <w:r>
        <w:t xml:space="preserve">are:</w:t>
      </w:r>
    </w:p>
    <w:p>
      <w:pPr>
        <w:numPr>
          <w:ilvl w:val="0"/>
          <w:numId w:val="1006"/>
        </w:numPr>
        <w:pStyle w:val="Compact"/>
      </w:pPr>
      <w:r>
        <w:rPr>
          <w:bCs/>
          <w:b/>
        </w:rPr>
        <w:t xml:space="preserve">Raw Material Acquisition:</w:t>
      </w:r>
      <w:r>
        <w:t xml:space="preserve"> </w:t>
      </w:r>
      <w:r>
        <w:t xml:space="preserve">Representing the largest portion of the footprint, highlighting the importance of sustainable sourcing and material efficiency.</w:t>
      </w:r>
    </w:p>
    <w:p>
      <w:pPr>
        <w:numPr>
          <w:ilvl w:val="0"/>
          <w:numId w:val="1006"/>
        </w:numPr>
        <w:pStyle w:val="Compact"/>
      </w:pPr>
      <w:r>
        <w:rPr>
          <w:bCs/>
          <w:b/>
        </w:rPr>
        <w:t xml:space="preserve">Use Phase:</w:t>
      </w:r>
      <w:r>
        <w:t xml:space="preserve"> </w:t>
      </w:r>
      <w:r>
        <w:t xml:space="preserve">Significant due to the product\'s lifespan and energy consumption, indicating opportunities for energy-efficient design.</w:t>
      </w:r>
    </w:p>
    <w:p>
      <w:pPr>
        <w:numPr>
          <w:ilvl w:val="0"/>
          <w:numId w:val="1006"/>
        </w:numPr>
        <w:pStyle w:val="Compact"/>
      </w:pPr>
      <w:r>
        <w:rPr>
          <w:bCs/>
          <w:b/>
        </w:rPr>
        <w:t xml:space="preserve">Manufacturing (Scope 2):</w:t>
      </w:r>
      <w:r>
        <w:t xml:space="preserve"> </w:t>
      </w:r>
      <w:r>
        <w:t xml:space="preserve">Although a portion of renewable energy is used, the remaining grid electricity from China\'s grid (which has a relatively high carbon intensity) contributes significantly.</w:t>
      </w:r>
    </w:p>
    <w:p>
      <w:pPr>
        <w:numPr>
          <w:ilvl w:val="0"/>
          <w:numId w:val="1006"/>
        </w:numPr>
        <w:pStyle w:val="Compact"/>
      </w:pPr>
      <w:r>
        <w:rPr>
          <w:bCs/>
          <w:b/>
        </w:rPr>
        <w:t xml:space="preserve">Transport &amp; Distribution:</w:t>
      </w:r>
      <w:r>
        <w:t xml:space="preserve"> </w:t>
      </w:r>
      <w:r>
        <w:t xml:space="preserve">The distance (enipzhluuz km) and mode (Road Freight) contribute a notable share, emphasizing the need for optimized logistics and lower-emission transport options.</w:t>
      </w:r>
    </w:p>
    <w:bookmarkEnd w:id="31"/>
    <w:bookmarkStart w:id="32" w:name="data-reliability-and-recommendations"/>
    <w:p>
      <w:pPr>
        <w:pStyle w:val="Heading3"/>
      </w:pPr>
      <w:r>
        <w:t xml:space="preserve">5.2. Data Reliability and Recommendations</w:t>
      </w:r>
    </w:p>
    <w:p>
      <w:pPr>
        <w:pStyle w:val="FirstParagraph"/>
      </w:pPr>
      <w:r>
        <w:t xml:space="preserve">The reliability of this PCF analysis is high due to the utilization of detailed primary data for the Bill of Materials, energy consumption, and product lifespan. Secondary data, drawn from reputable industry sources, complements this by providing robust emission factors where primary data was unavailable. To further enhance accuracy and drive reductions, the following recommendations are made:</w:t>
      </w:r>
    </w:p>
    <w:p>
      <w:pPr>
        <w:numPr>
          <w:ilvl w:val="0"/>
          <w:numId w:val="1007"/>
        </w:numPr>
        <w:pStyle w:val="Compact"/>
      </w:pPr>
      <w:r>
        <w:rPr>
          <w:bCs/>
          <w:b/>
        </w:rPr>
        <w:t xml:space="preserve">Primary Data for Transport:</w:t>
      </w:r>
      <w:r>
        <w:t xml:space="preserve"> </w:t>
      </w:r>
      <w:r>
        <w:t xml:space="preserve">Obtain specific emission factors for "Select Mode" and "Delivery Type" based on actual carriers and vehicle types to refine transport emissions.</w:t>
      </w:r>
    </w:p>
    <w:p>
      <w:pPr>
        <w:numPr>
          <w:ilvl w:val="0"/>
          <w:numId w:val="1007"/>
        </w:numPr>
        <w:pStyle w:val="Compact"/>
      </w:pPr>
      <w:r>
        <w:rPr>
          <w:bCs/>
          <w:b/>
        </w:rPr>
        <w:t xml:space="preserve">Supplier Engagement:</w:t>
      </w:r>
      <w:r>
        <w:t xml:space="preserve"> </w:t>
      </w:r>
      <w:r>
        <w:t xml:space="preserve">Collaborate with raw material suppliers to obtain primary data on their manufacturing processes and energy mixes to further refine Scope 3 upstream emissions.</w:t>
      </w:r>
    </w:p>
    <w:p>
      <w:pPr>
        <w:numPr>
          <w:ilvl w:val="0"/>
          <w:numId w:val="1007"/>
        </w:numPr>
        <w:pStyle w:val="Compact"/>
      </w:pPr>
      <w:r>
        <w:rPr>
          <w:bCs/>
          <w:b/>
        </w:rPr>
        <w:t xml:space="preserve">Renewable Energy Expansion:</w:t>
      </w:r>
      <w:r>
        <w:t xml:space="preserve"> </w:t>
      </w:r>
      <w:r>
        <w:t xml:space="preserve">Explore opportunities to increase renewable energy usage in manufacturing operations beyond the current uivsdsmdmh%, and potentially influence suppliers to do the same.</w:t>
      </w:r>
    </w:p>
    <w:p>
      <w:pPr>
        <w:numPr>
          <w:ilvl w:val="0"/>
          <w:numId w:val="1007"/>
        </w:numPr>
        <w:pStyle w:val="Compact"/>
      </w:pPr>
      <w:r>
        <w:rPr>
          <w:bCs/>
          <w:b/>
        </w:rPr>
        <w:t xml:space="preserve">Product Design Optimization:</w:t>
      </w:r>
      <w:r>
        <w:t xml:space="preserve"> </w:t>
      </w:r>
      <w:r>
        <w:t xml:space="preserve">Investigate alternative, lower-impact materials from the BOM, and enhance energy efficiency during the dmjwiqriuj-year lifespan.</w:t>
      </w:r>
    </w:p>
    <w:p>
      <w:pPr>
        <w:numPr>
          <w:ilvl w:val="0"/>
          <w:numId w:val="1007"/>
        </w:numPr>
        <w:pStyle w:val="Compact"/>
      </w:pPr>
      <w:r>
        <w:rPr>
          <w:bCs/>
          <w:b/>
        </w:rPr>
        <w:t xml:space="preserve">Circular Economy Enhancement:</w:t>
      </w:r>
      <w:r>
        <w:t xml:space="preserve"> </w:t>
      </w:r>
      <w:r>
        <w:t xml:space="preserve">Strengthen wqhjpoluuv programs and explore ways to increase the nlnsthjfft% recyclability through design for disassembly and material recovery.</w:t>
      </w:r>
    </w:p>
    <w:p>
      <w:r>
        <w:pict>
          <v:rect style="width:0;height:1.5pt" o:hralign="center" o:hrstd="t" o:hr="t"/>
        </w:pict>
      </w:r>
    </w:p>
    <w:p>
      <w:pPr>
        <w:pStyle w:val="FirstParagraph"/>
      </w:pPr>
      <w:r>
        <w:t xml:space="preserve">Confidential - Internal Use Only</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vlzjfqkufx</dc:title>
  <dc:creator/>
  <dc:description>High-detail Product Carbon Footprint (PCF) analysis report for vlzjfqkufx by ldfeomzouq, Senior Sustainability Consultant at ttugkmysed, adhering to GHG Protocol and 2026 LSR update.</dc:description>
  <dc:language>en</dc:language>
  <cp:keywords/>
  <dcterms:created xsi:type="dcterms:W3CDTF">2026-05-30T11:32:29Z</dcterms:created>
  <dcterms:modified xsi:type="dcterms:W3CDTF">2026-05-30T11:32:29Z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