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vlxuzssnik</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vlxuzssnik</w:t>
      </w:r>
    </w:p>
    <w:p>
      <w:pPr>
        <w:pStyle w:val="BodyText"/>
      </w:pPr>
      <w:r>
        <w:rPr>
          <w:bCs/>
          <w:b/>
        </w:rPr>
        <w:t xml:space="preserve">Company Name:</w:t>
      </w:r>
      <w:r>
        <w:t xml:space="preserve"> </w:t>
      </w:r>
      <w:r>
        <w:t xml:space="preserve">yhdgvhqjxn</w:t>
      </w:r>
    </w:p>
    <w:p>
      <w:pPr>
        <w:pStyle w:val="BodyText"/>
      </w:pPr>
      <w:r>
        <w:rPr>
          <w:bCs/>
          <w:b/>
        </w:rPr>
        <w:t xml:space="preserve">Senior Sustainability Consultant:</w:t>
      </w:r>
      <w:r>
        <w:t xml:space="preserve"> </w:t>
      </w:r>
      <w:r>
        <w:t xml:space="preserve">suyruthpup</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carbon footprint may vary depending on real-time operational conditions, specific supplier data, and evolving methodologies. The values used for placeholder data are illustrative and based on typical industry assumptions.</w:t>
      </w:r>
    </w:p>
    <w:bookmarkEnd w:id="20"/>
    <w:bookmarkStart w:id="21" w:name="product-carbon-footprint-analysis"/>
    <w:p>
      <w:pPr>
        <w:pStyle w:val="Heading1"/>
      </w:pPr>
      <w:r>
        <w:t xml:space="preserve">Product Carbon Footprint Analysis</w:t>
      </w:r>
    </w:p>
    <w:p>
      <w:pPr>
        <w:pStyle w:val="FirstParagraph"/>
      </w:pPr>
      <w:r>
        <w:t xml:space="preserve">Product: vlxuzssnik</w:t>
      </w:r>
    </w:p>
    <w:p>
      <w:pPr>
        <w:pStyle w:val="BodyText"/>
      </w:pPr>
      <w:r>
        <w:t xml:space="preserve">Generated Date: May 23,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vlxuzssnik</w:t>
      </w:r>
      <w:r>
        <w:t xml:space="preserve">, manufactured by</w:t>
      </w:r>
      <w:r>
        <w:t xml:space="preserve"> </w:t>
      </w:r>
      <w:r>
        <w:rPr>
          <w:bCs/>
          <w:b/>
        </w:rPr>
        <w:t xml:space="preserve">yhdgvhqjxn</w:t>
      </w:r>
      <w:r>
        <w:t xml:space="preserve">. The analysis, conducted by Senior Sustainability Consultant</w:t>
      </w:r>
      <w:r>
        <w:t xml:space="preserve"> </w:t>
      </w:r>
      <w:r>
        <w:rPr>
          <w:bCs/>
          <w:b/>
        </w:rPr>
        <w:t xml:space="preserve">suyruthpup</w:t>
      </w:r>
      <w:r>
        <w:t xml:space="preserve">, strictly adheres to the GHG Protocol standards, including the 2026 Land Sector and Removals (LSR) update, with a commitment to achieving at least 95% Scope 3 coverage. The PCF quantifies the greenhouse gas (GHG) emissions associated with the product\'s lifecycle, from material extraction and manufacturing to distribution, use, and end-of-life. This assessment aims to identify emission hotspots and provide actionable insights for reducing environmental impact.</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Functional Unit</w:t>
      </w:r>
    </w:p>
    <w:p>
      <w:pPr>
        <w:pStyle w:val="FirstParagraph"/>
      </w:pPr>
      <w:r>
        <w:t xml:space="preserve">The functional unit for this Product Carbon Footprint analysis is</w:t>
      </w:r>
      <w:r>
        <w:t xml:space="preserve"> </w:t>
      </w:r>
      <w:r>
        <w:rPr>
          <w:bCs/>
          <w:b/>
        </w:rPr>
        <w:t xml:space="preserve">1.0 unit of vlxuzssnik</w:t>
      </w:r>
      <w:r>
        <w:t xml:space="preserve">. This unit serves as the reference flow to which all input and output data are normalized, ensuring a consistent basis for comparison and assessment.</w:t>
      </w:r>
    </w:p>
    <w:bookmarkEnd w:id="23"/>
    <w:bookmarkStart w:id="24" w:name="system-boundary"/>
    <w:p>
      <w:pPr>
        <w:pStyle w:val="Heading3"/>
      </w:pPr>
      <w:r>
        <w:t xml:space="preserve">System Boundary</w:t>
      </w:r>
    </w:p>
    <w:p>
      <w:pPr>
        <w:pStyle w:val="FirstParagraph"/>
      </w:pPr>
      <w:r>
        <w:t xml:space="preserve">The system boundary for this PCF is defined as</w:t>
      </w:r>
      <w:r>
        <w:t xml:space="preserve"> </w:t>
      </w:r>
      <w:r>
        <w:rPr>
          <w:bCs/>
          <w:b/>
        </w:rPr>
        <w:t xml:space="preserve">factory_gate</w:t>
      </w:r>
      <w:r>
        <w:t xml:space="preserve">, encompassing the Cradle-to-Gate scope, with additional considerations for transport to customer, use phase, and end-of-life impacts to provide a comprehensive "Cradle-to-Grave" perspective as per the GHG Protocol Product Standard. This includes:</w:t>
      </w:r>
    </w:p>
    <w:p>
      <w:pPr>
        <w:numPr>
          <w:ilvl w:val="0"/>
          <w:numId w:val="1001"/>
        </w:numPr>
        <w:pStyle w:val="Compact"/>
      </w:pPr>
      <w:r>
        <w:t xml:space="preserve">Material acquisition and pre-processing</w:t>
      </w:r>
    </w:p>
    <w:p>
      <w:pPr>
        <w:numPr>
          <w:ilvl w:val="0"/>
          <w:numId w:val="1001"/>
        </w:numPr>
        <w:pStyle w:val="Compact"/>
      </w:pPr>
      <w:r>
        <w:t xml:space="preserve">Manufacturing and production at the factory</w:t>
      </w:r>
    </w:p>
    <w:p>
      <w:pPr>
        <w:numPr>
          <w:ilvl w:val="0"/>
          <w:numId w:val="1001"/>
        </w:numPr>
        <w:pStyle w:val="Compact"/>
      </w:pPr>
      <w:r>
        <w:t xml:space="preserve">Transportation of raw materials and finished product</w:t>
      </w:r>
    </w:p>
    <w:p>
      <w:pPr>
        <w:numPr>
          <w:ilvl w:val="0"/>
          <w:numId w:val="1001"/>
        </w:numPr>
        <w:pStyle w:val="Compact"/>
      </w:pPr>
      <w:r>
        <w:t xml:space="preserve">Product use phase</w:t>
      </w:r>
    </w:p>
    <w:p>
      <w:pPr>
        <w:numPr>
          <w:ilvl w:val="0"/>
          <w:numId w:val="1001"/>
        </w:numPr>
        <w:pStyle w:val="Compact"/>
      </w:pPr>
      <w:r>
        <w:t xml:space="preserve">End-of-life treatment and disposal/recycling</w:t>
      </w:r>
    </w:p>
    <w:bookmarkEnd w:id="24"/>
    <w:bookmarkStart w:id="25" w:name="geographic-scope"/>
    <w:p>
      <w:pPr>
        <w:pStyle w:val="Heading3"/>
      </w:pPr>
      <w:r>
        <w:t xml:space="preserve">Geographic Scope</w:t>
      </w:r>
    </w:p>
    <w:p>
      <w:pPr>
        <w:pStyle w:val="FirstParagraph"/>
      </w:pPr>
      <w:r>
        <w:t xml:space="preserve">The final production country for vlxuzssnik is</w:t>
      </w:r>
      <w:r>
        <w:t xml:space="preserve"> </w:t>
      </w:r>
      <w:r>
        <w:rPr>
          <w:bCs/>
          <w:b/>
        </w:rPr>
        <w:t xml:space="preserve">China</w:t>
      </w:r>
      <w:r>
        <w:t xml:space="preserve">. The supply chain focus is primarily</w:t>
      </w:r>
      <w:r>
        <w:t xml:space="preserve"> </w:t>
      </w:r>
      <w:r>
        <w:rPr>
          <w:bCs/>
          <w:b/>
        </w:rPr>
        <w:t xml:space="preserve">Europe Focused</w:t>
      </w:r>
      <w:r>
        <w:t xml:space="preserve">, implying that upstream material sourcing and downstream distribution, while originating from China, largely cater to or pass through European markets. This geographic context is crucial for selecting appropriate regional electricity grid mixes and transport emission factors.</w:t>
      </w:r>
    </w:p>
    <w:bookmarkEnd w:id="25"/>
    <w:bookmarkStart w:id="26" w:name="accounting-standard"/>
    <w:p>
      <w:pPr>
        <w:pStyle w:val="Heading3"/>
      </w:pPr>
      <w:r>
        <w:t xml:space="preserve">Accounting Standard</w:t>
      </w:r>
    </w:p>
    <w:p>
      <w:pPr>
        <w:pStyle w:val="FirstParagraph"/>
      </w:pPr>
      <w:r>
        <w:t xml:space="preserve">This Product Carbon Footprint analysis strictly follows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the value chain, both upstream and downstream). The analysis also incorporates principles from the</w:t>
      </w:r>
      <w:r>
        <w:t xml:space="preserve"> </w:t>
      </w:r>
      <w:r>
        <w:rPr>
          <w:bCs/>
          <w:b/>
        </w:rPr>
        <w:t xml:space="preserve">2026 Land Sector and Removals (LSR) Standard</w:t>
      </w:r>
      <w:r>
        <w:t xml:space="preserve"> </w:t>
      </w:r>
      <w:r>
        <w:t xml:space="preserve">for relevant land use impacts and carbon removals, and aims for at least</w:t>
      </w:r>
      <w:r>
        <w:t xml:space="preserve"> </w:t>
      </w:r>
      <w:r>
        <w:rPr>
          <w:bCs/>
          <w:b/>
        </w:rPr>
        <w:t xml:space="preserve">95% coverage for Scope 3 reporting</w:t>
      </w:r>
      <w:r>
        <w:t xml:space="preserve">, aligning with anticipated 2026 requirements for comprehensive value chain assessment.</w:t>
      </w:r>
    </w:p>
    <w:bookmarkEnd w:id="26"/>
    <w:bookmarkStart w:id="27" w:name="allocation"/>
    <w:p>
      <w:pPr>
        <w:pStyle w:val="Heading3"/>
      </w:pPr>
      <w:r>
        <w:t xml:space="preserve">Allocation</w:t>
      </w:r>
    </w:p>
    <w:p>
      <w:pPr>
        <w:pStyle w:val="FirstParagraph"/>
      </w:pPr>
      <w:r>
        <w:t xml:space="preserve">Mass-based allocation is primarily applied for co-products and waste streams where relevant, ensuring environmental burdens are distributed proportionally. For recycled content, the "cut-off" or "end-of-life" approach is used, attributing the burden of primary production to the initial product system and the benefits of recycling to the subsequent system.</w:t>
      </w:r>
    </w:p>
    <w:p>
      <w:r>
        <w:pict>
          <v:rect style="width:0;height:1.5pt" o:hralign="center" o:hrstd="t" o:hr="t"/>
        </w:pict>
      </w:r>
    </w:p>
    <w:bookmarkEnd w:id="27"/>
    <w:bookmarkEnd w:id="28"/>
    <w:bookmarkStart w:id="34" w:name="lifecycle-mapping-3.-data-collection"/>
    <w:p>
      <w:pPr>
        <w:pStyle w:val="Heading2"/>
      </w:pPr>
      <w:r>
        <w:t xml:space="preserve">2. Lifecycle Mapping &amp; 3. Data Collection</w:t>
      </w:r>
    </w:p>
    <w:p>
      <w:pPr>
        <w:pStyle w:val="FirstParagraph"/>
      </w:pPr>
      <w:r>
        <w:t xml:space="preserve">This section details the various stages of the product lifecycle for vlxuzssnik and the data collected for each. The analysis relies on a combination of primary data (where available) and secondary, industry-average data from recognized databases (such as Ecoinvent and DEFRA) for emission factors.</w:t>
      </w:r>
    </w:p>
    <w:bookmarkStart w:id="29" w:name="X8f0c23f8cebd413c92af51c3197453be57ce407"/>
    <w:p>
      <w:pPr>
        <w:pStyle w:val="Heading3"/>
      </w:pPr>
      <w:r>
        <w:t xml:space="preserve">Detailed Bill of Materials (BOM) - `snwmgujj`</w:t>
      </w:r>
    </w:p>
    <w:p>
      <w:pPr>
        <w:pStyle w:val="FirstParagraph"/>
      </w:pPr>
      <w:r>
        <w:t xml:space="preserve">The detailed Bill of Materials (BOM) identified as</w:t>
      </w:r>
      <w:r>
        <w:t xml:space="preserve"> </w:t>
      </w:r>
      <w:r>
        <w:rPr>
          <w:bCs/>
          <w:b/>
        </w:rPr>
        <w:t xml:space="preserve">snwmgujj</w:t>
      </w:r>
      <w:r>
        <w:t xml:space="preserve"> </w:t>
      </w:r>
      <w:r>
        <w:t xml:space="preserve">is crucial for calculating the material acquisition and pre-processing impacts. For the purpose of this high-detail report, and acknowledging \'snwmgujj\' as a placeholder for comprehensive data, the following illustrative BOM data is used, reflecting typical components for a consumer electronic product. The \'Total Carbon\' values are directly utilized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0.450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0.040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w:t>
            </w:r>
          </w:p>
        </w:tc>
        <w:tc>
          <w:tcPr/>
          <w:p>
            <w:pPr>
              <w:pStyle w:val="Compact"/>
              <w:jc w:val="left"/>
            </w:pPr>
            <w:r>
              <w:t xml:space="preserve">0.080</w:t>
            </w:r>
          </w:p>
        </w:tc>
      </w:tr>
    </w:tbl>
    <w:bookmarkEnd w:id="29"/>
    <w:bookmarkStart w:id="30" w:name="energy-inputs-production-phase"/>
    <w:p>
      <w:pPr>
        <w:pStyle w:val="Heading3"/>
      </w:pPr>
      <w:r>
        <w:t xml:space="preserve">Energy Inputs (Production Phase)</w:t>
      </w:r>
    </w:p>
    <w:p>
      <w:pPr>
        <w:pStyle w:val="FirstParagraph"/>
      </w:pPr>
      <w:r>
        <w:t xml:space="preserve">The energy consumption during the production phase is a significant contributor to the product\'s footprint. The following data is incorporated:</w:t>
      </w:r>
    </w:p>
    <w:p>
      <w:pPr>
        <w:numPr>
          <w:ilvl w:val="0"/>
          <w:numId w:val="1002"/>
        </w:numPr>
        <w:pStyle w:val="Compact"/>
      </w:pPr>
      <w:r>
        <w:rPr>
          <w:bCs/>
          <w:b/>
        </w:rPr>
        <w:t xml:space="preserve">Energy Intensity (kWh/unit):</w:t>
      </w:r>
      <w:r>
        <w:t xml:space="preserve"> </w:t>
      </w:r>
      <w:r>
        <w:rPr>
          <w:bCs/>
          <w:b/>
        </w:rPr>
        <w:t xml:space="preserve">jokonzexiz</w:t>
      </w:r>
      <w:r>
        <w:t xml:space="preserve"> </w:t>
      </w:r>
      <w:r>
        <w:t xml:space="preserve">= 2.5 kWh/unit</w:t>
      </w:r>
    </w:p>
    <w:p>
      <w:pPr>
        <w:numPr>
          <w:ilvl w:val="0"/>
          <w:numId w:val="1002"/>
        </w:numPr>
        <w:pStyle w:val="Compact"/>
      </w:pPr>
      <w:r>
        <w:rPr>
          <w:bCs/>
          <w:b/>
        </w:rPr>
        <w:t xml:space="preserve">Renewable Energy Usage:</w:t>
      </w:r>
      <w:r>
        <w:t xml:space="preserve"> </w:t>
      </w:r>
      <w:r>
        <w:rPr>
          <w:bCs/>
          <w:b/>
        </w:rPr>
        <w:t xml:space="preserve">uwkllmoqgz</w:t>
      </w:r>
      <w:r>
        <w:t xml:space="preserve"> </w:t>
      </w:r>
      <w:r>
        <w:t xml:space="preserve">= 30%</w:t>
      </w:r>
    </w:p>
    <w:p>
      <w:pPr>
        <w:numPr>
          <w:ilvl w:val="0"/>
          <w:numId w:val="1002"/>
        </w:numPr>
        <w:pStyle w:val="Compact"/>
      </w:pPr>
      <w:r>
        <w:rPr>
          <w:bCs/>
          <w:b/>
        </w:rPr>
        <w:t xml:space="preserve">Final Production Country:</w:t>
      </w:r>
      <w:r>
        <w:t xml:space="preserve"> </w:t>
      </w:r>
      <w:r>
        <w:t xml:space="preserve">China (Assumed grid emission factor for China: 0.62 kgCO2e/kWh).</w:t>
      </w:r>
    </w:p>
    <w:bookmarkEnd w:id="30"/>
    <w:bookmarkStart w:id="31" w:name="logistics-data-transport"/>
    <w:p>
      <w:pPr>
        <w:pStyle w:val="Heading3"/>
      </w:pPr>
      <w:r>
        <w:t xml:space="preserve">Logistics Data (Transport)</w:t>
      </w:r>
    </w:p>
    <w:p>
      <w:pPr>
        <w:pStyle w:val="FirstParagraph"/>
      </w:pPr>
      <w:r>
        <w:t xml:space="preserve">Transportation impacts cover both inbound logistics (raw materials to factory) and outbound logistics (finished product to customer). The following specific logistics data is used:</w:t>
      </w:r>
    </w:p>
    <w:p>
      <w:pPr>
        <w:numPr>
          <w:ilvl w:val="0"/>
          <w:numId w:val="1003"/>
        </w:numPr>
        <w:pStyle w:val="Compact"/>
      </w:pPr>
      <w:r>
        <w:rPr>
          <w:bCs/>
          <w:b/>
        </w:rPr>
        <w:t xml:space="preserve">Transport Mode:</w:t>
      </w:r>
      <w:r>
        <w:t xml:space="preserve"> </w:t>
      </w:r>
      <w:r>
        <w:rPr>
          <w:bCs/>
          <w:b/>
        </w:rPr>
        <w:t xml:space="preserve">Select Mode</w:t>
      </w:r>
      <w:r>
        <w:t xml:space="preserve"> </w:t>
      </w:r>
      <w:r>
        <w:t xml:space="preserve">(Assumed: Sea Freight for intercontinental, Road Freight for European distribution)</w:t>
      </w:r>
    </w:p>
    <w:p>
      <w:pPr>
        <w:numPr>
          <w:ilvl w:val="0"/>
          <w:numId w:val="1003"/>
        </w:numPr>
        <w:pStyle w:val="Compact"/>
      </w:pPr>
      <w:r>
        <w:rPr>
          <w:bCs/>
          <w:b/>
        </w:rPr>
        <w:t xml:space="preserve">Transport Distance:</w:t>
      </w:r>
      <w:r>
        <w:t xml:space="preserve"> </w:t>
      </w:r>
      <w:r>
        <w:rPr>
          <w:bCs/>
          <w:b/>
        </w:rPr>
        <w:t xml:space="preserve">yjrmyvqfod</w:t>
      </w:r>
      <w:r>
        <w:t xml:space="preserve"> </w:t>
      </w:r>
      <w:r>
        <w:t xml:space="preserve">(Assumed: 15,000 km for Sea Freight, 1,000 km for Road Freight to European hub, 100 km for Last-Mile Delivery)</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(Assumed: Van Delivery)</w:t>
      </w:r>
    </w:p>
    <w:p>
      <w:pPr>
        <w:pStyle w:val="FirstParagraph"/>
      </w:pPr>
      <w:r>
        <w:rPr>
          <w:bCs/>
          <w:b/>
        </w:rPr>
        <w:t xml:space="preserve">Assumed Emission Factors for Transport:</w:t>
      </w:r>
    </w:p>
    <w:p>
      <w:pPr>
        <w:numPr>
          <w:ilvl w:val="0"/>
          <w:numId w:val="1004"/>
        </w:numPr>
        <w:pStyle w:val="Compact"/>
      </w:pPr>
      <w:r>
        <w:t xml:space="preserve">Sea Freight (container ship): 0.016 kgCO2e/tonne-km.</w:t>
      </w:r>
    </w:p>
    <w:p>
      <w:pPr>
        <w:numPr>
          <w:ilvl w:val="0"/>
          <w:numId w:val="1004"/>
        </w:numPr>
        <w:pStyle w:val="Compact"/>
      </w:pPr>
      <w:r>
        <w:t xml:space="preserve">Road Freight (Heavy Goods Vehicle - HGV &amp; Van Delivery): 0.062 kgCO2e/tonne-km. For calculation purposes, "Select Mode" (Road Freight portion) and "Delivery Type" (Van Delivery) are both approximated using this average road freight emission factor due to data availability.</w:t>
      </w:r>
    </w:p>
    <w:p>
      <w:pPr>
        <w:pStyle w:val="FirstParagraph"/>
      </w:pPr>
      <w:r>
        <w:t xml:space="preserve">For calculations, a product weight of 0.2 kg (sum of illustrative BOM materials for the product itself) plus packaging (0.08 kg) will be used for transport, totaling 0.28 kg/unit.</w:t>
      </w:r>
    </w:p>
    <w:bookmarkEnd w:id="31"/>
    <w:bookmarkStart w:id="32" w:name="use-phase-data"/>
    <w:p>
      <w:pPr>
        <w:pStyle w:val="Heading3"/>
      </w:pPr>
      <w:r>
        <w:t xml:space="preserve">Use Phase Data</w:t>
      </w:r>
    </w:p>
    <w:p>
      <w:pPr>
        <w:pStyle w:val="FirstParagraph"/>
      </w:pPr>
      <w:r>
        <w:t xml:space="preserve">The energy consumed during the product\'s operational lifetime is critical for downstream emissions.</w:t>
      </w:r>
    </w:p>
    <w:p>
      <w:pPr>
        <w:numPr>
          <w:ilvl w:val="0"/>
          <w:numId w:val="1005"/>
        </w:numPr>
        <w:pStyle w:val="Compact"/>
      </w:pPr>
      <w:r>
        <w:rPr>
          <w:bCs/>
          <w:b/>
        </w:rPr>
        <w:t xml:space="preserve">Product Lifespan:</w:t>
      </w:r>
      <w:r>
        <w:t xml:space="preserve"> </w:t>
      </w:r>
      <w:r>
        <w:rPr>
          <w:bCs/>
          <w:b/>
        </w:rPr>
        <w:t xml:space="preserve">mlsjfmuvix</w:t>
      </w:r>
      <w:r>
        <w:t xml:space="preserve"> </w:t>
      </w:r>
      <w:r>
        <w:t xml:space="preserve">= 3 years</w:t>
      </w:r>
    </w:p>
    <w:p>
      <w:pPr>
        <w:numPr>
          <w:ilvl w:val="0"/>
          <w:numId w:val="1005"/>
        </w:numPr>
        <w:pStyle w:val="Compact"/>
      </w:pPr>
      <w:r>
        <w:rPr>
          <w:bCs/>
          <w:b/>
        </w:rPr>
        <w:t xml:space="preserve">Energy Consumption in Use:</w:t>
      </w:r>
      <w:r>
        <w:t xml:space="preserve"> </w:t>
      </w:r>
      <w:r>
        <w:rPr>
          <w:bCs/>
          <w:b/>
        </w:rPr>
        <w:t xml:space="preserve">yvddxtxtks</w:t>
      </w:r>
      <w:r>
        <w:t xml:space="preserve"> </w:t>
      </w:r>
      <w:r>
        <w:t xml:space="preserve">= 5 kWh/year</w:t>
      </w:r>
    </w:p>
    <w:p>
      <w:pPr>
        <w:pStyle w:val="FirstParagraph"/>
      </w:pPr>
      <w:r>
        <w:rPr>
          <w:bCs/>
          <w:b/>
        </w:rPr>
        <w:t xml:space="preserve">Assumed Electricity Mix for Use Phase (End User):</w:t>
      </w:r>
      <w:r>
        <w:t xml:space="preserve"> </w:t>
      </w:r>
      <w:r>
        <w:t xml:space="preserve">For a "Europe Focused" supply chain, the average European electricity grid mix is used for the use phase: 0.23 kgCO2e/kWh.</w:t>
      </w:r>
    </w:p>
    <w:bookmarkEnd w:id="32"/>
    <w:bookmarkStart w:id="33" w:name="end-of-life-eol-scenarios"/>
    <w:p>
      <w:pPr>
        <w:pStyle w:val="Heading3"/>
      </w:pPr>
      <w:r>
        <w:t xml:space="preserve">End-of-Life (EoL) Scenarios</w:t>
      </w:r>
    </w:p>
    <w:p>
      <w:pPr>
        <w:pStyle w:val="FirstParagraph"/>
      </w:pPr>
      <w:r>
        <w:t xml:space="preserve">The end-of-life treatment of vlxuzssnik is considered, with the following parameters:</w:t>
      </w:r>
    </w:p>
    <w:p>
      <w:pPr>
        <w:numPr>
          <w:ilvl w:val="0"/>
          <w:numId w:val="1006"/>
        </w:numPr>
        <w:pStyle w:val="Compact"/>
      </w:pPr>
      <w:r>
        <w:rPr>
          <w:bCs/>
          <w:b/>
        </w:rPr>
        <w:t xml:space="preserve">Recyclability Percentage:</w:t>
      </w:r>
      <w:r>
        <w:t xml:space="preserve"> </w:t>
      </w:r>
      <w:r>
        <w:rPr>
          <w:bCs/>
          <w:b/>
        </w:rPr>
        <w:t xml:space="preserve">zrmmpqzvsw</w:t>
      </w:r>
      <w:r>
        <w:t xml:space="preserve"> </w:t>
      </w:r>
      <w:r>
        <w:t xml:space="preserve">= 70%</w:t>
      </w:r>
    </w:p>
    <w:p>
      <w:pPr>
        <w:numPr>
          <w:ilvl w:val="0"/>
          <w:numId w:val="1006"/>
        </w:numPr>
        <w:pStyle w:val="Compact"/>
      </w:pPr>
      <w:r>
        <w:rPr>
          <w:bCs/>
          <w:b/>
        </w:rPr>
        <w:t xml:space="preserve">Circular/Take-back Programs:</w:t>
      </w:r>
      <w:r>
        <w:t xml:space="preserve"> </w:t>
      </w:r>
      <w:r>
        <w:rPr>
          <w:bCs/>
          <w:b/>
        </w:rPr>
        <w:t xml:space="preserve">hdvngoydxg</w:t>
      </w:r>
      <w:r>
        <w:t xml:space="preserve"> </w:t>
      </w:r>
      <w:r>
        <w:t xml:space="preserve">= "Company-sponsored take-back scheme with material recovery"</w:t>
      </w:r>
    </w:p>
    <w:p>
      <w:pPr>
        <w:pStyle w:val="FirstParagraph"/>
      </w:pPr>
      <w:r>
        <w:t xml:space="preserve">A credit for recycling is applied based on the recyclability percentage, assuming a displacement of virgin material production.</w:t>
      </w:r>
    </w:p>
    <w:p>
      <w:r>
        <w:pict>
          <v:rect style="width:0;height:1.5pt" o:hralign="center" o:hrstd="t" o:hr="t"/>
        </w:pict>
      </w:r>
    </w:p>
    <w:bookmarkEnd w:id="33"/>
    <w:bookmarkEnd w:id="34"/>
    <w:bookmarkStart w:id="42" w:name="emission-calculation"/>
    <w:p>
      <w:pPr>
        <w:pStyle w:val="Heading2"/>
      </w:pPr>
      <w:r>
        <w:t xml:space="preserve">4. Emission Calculation</w:t>
      </w:r>
    </w:p>
    <w:p>
      <w:pPr>
        <w:pStyle w:val="FirstParagraph"/>
      </w:pPr>
      <w:r>
        <w:t xml:space="preserve">Emissions are calculated for each life cycle stage, following the activity data multiplied by relevant emission factors. The results are presented in kilograms of CO2 equivalent (kgCO2e).</w:t>
      </w:r>
    </w:p>
    <w:bookmarkStart w:id="40" w:name="calculations"/>
    <w:p>
      <w:pPr>
        <w:pStyle w:val="Heading3"/>
      </w:pPr>
      <w:r>
        <w:t xml:space="preserve">Calculations</w:t>
      </w:r>
    </w:p>
    <w:bookmarkStart w:id="35" w:name="Xa124a95b981c370289279a4b723120ad8e79cc2"/>
    <w:p>
      <w:pPr>
        <w:pStyle w:val="Heading4"/>
      </w:pPr>
      <w:r>
        <w:t xml:space="preserve">Materials Acquisition &amp; Pre-processing (Scope 3 - Upstream)</w:t>
      </w:r>
    </w:p>
    <w:p>
      <w:pPr>
        <w:pStyle w:val="FirstParagraph"/>
      </w:pPr>
      <w:r>
        <w:t xml:space="preserve">Based on the provided illustrative BOM data, the "Total Carbon" values are summed directly.</w:t>
      </w:r>
    </w:p>
    <w:p>
      <w:pPr>
        <w:numPr>
          <w:ilvl w:val="0"/>
          <w:numId w:val="1007"/>
        </w:numPr>
        <w:pStyle w:val="Compact"/>
      </w:pPr>
      <w:r>
        <w:t xml:space="preserve">ABS Plastic Casing: 0.125 kgCO2e</w:t>
      </w:r>
    </w:p>
    <w:p>
      <w:pPr>
        <w:numPr>
          <w:ilvl w:val="0"/>
          <w:numId w:val="1007"/>
        </w:numPr>
        <w:pStyle w:val="Compact"/>
      </w:pPr>
      <w:r>
        <w:t xml:space="preserve">Printed Circuit Board (PCB): 0.200 kgCO2e</w:t>
      </w:r>
    </w:p>
    <w:p>
      <w:pPr>
        <w:numPr>
          <w:ilvl w:val="0"/>
          <w:numId w:val="1007"/>
        </w:numPr>
        <w:pStyle w:val="Compact"/>
      </w:pPr>
      <w:r>
        <w:t xml:space="preserve">Lithium-ion Battery: 0.450 kgCO2e</w:t>
      </w:r>
    </w:p>
    <w:p>
      <w:pPr>
        <w:numPr>
          <w:ilvl w:val="0"/>
          <w:numId w:val="1007"/>
        </w:numPr>
        <w:pStyle w:val="Compact"/>
      </w:pPr>
      <w:r>
        <w:t xml:space="preserve">Copper Wiring: 0.040 kgCO2e</w:t>
      </w:r>
    </w:p>
    <w:p>
      <w:pPr>
        <w:numPr>
          <w:ilvl w:val="0"/>
          <w:numId w:val="1007"/>
        </w:numPr>
        <w:pStyle w:val="Compact"/>
      </w:pPr>
      <w:r>
        <w:t xml:space="preserve">Packaging (Cardboard): 0.080 kgCO2e</w:t>
      </w:r>
    </w:p>
    <w:p>
      <w:pPr>
        <w:pStyle w:val="FirstParagraph"/>
      </w:pPr>
      <w:r>
        <w:rPr>
          <w:bCs/>
          <w:b/>
        </w:rPr>
        <w:t xml:space="preserve">Total Material Emissions = 0.125 + 0.200 + 0.450 + 0.040 + 0.080 = 0.895 kgCO2e</w:t>
      </w:r>
    </w:p>
    <w:bookmarkEnd w:id="35"/>
    <w:bookmarkStart w:id="36" w:name="production-phase-scope-2"/>
    <w:p>
      <w:pPr>
        <w:pStyle w:val="Heading4"/>
      </w:pPr>
      <w:r>
        <w:t xml:space="preserve">Production Phase (Scope 2)</w:t>
      </w:r>
    </w:p>
    <w:p>
      <w:pPr>
        <w:pStyle w:val="FirstParagraph"/>
      </w:pPr>
      <w:r>
        <w:t xml:space="preserve">The production emissions are primarily due to purchased electricity. Since 30% of energy is from renewable sources, only 70% contributes to grid emissions.</w:t>
      </w:r>
    </w:p>
    <w:p>
      <w:pPr>
        <w:numPr>
          <w:ilvl w:val="0"/>
          <w:numId w:val="1008"/>
        </w:numPr>
        <w:pStyle w:val="Compact"/>
      </w:pPr>
      <w:r>
        <w:t xml:space="preserve">Energy Intensity: 2.5 kWh/unit</w:t>
      </w:r>
    </w:p>
    <w:p>
      <w:pPr>
        <w:numPr>
          <w:ilvl w:val="0"/>
          <w:numId w:val="1008"/>
        </w:numPr>
        <w:pStyle w:val="Compact"/>
      </w:pPr>
      <w:r>
        <w:t xml:space="preserve">Non-renewable energy usage: 100% - 30% = 70%</w:t>
      </w:r>
    </w:p>
    <w:p>
      <w:pPr>
        <w:numPr>
          <w:ilvl w:val="0"/>
          <w:numId w:val="1008"/>
        </w:numPr>
        <w:pStyle w:val="Compact"/>
      </w:pPr>
      <w:r>
        <w:t xml:space="preserve">China Grid Emission Factor: 0.62 kgCO2e/kWh.</w:t>
      </w:r>
    </w:p>
    <w:p>
      <w:pPr>
        <w:pStyle w:val="FirstParagraph"/>
      </w:pPr>
      <w:r>
        <w:rPr>
          <w:bCs/>
          <w:b/>
        </w:rPr>
        <w:t xml:space="preserve">Production Emissions = Energy Intensity * (1 - Renewable Usage) * China Grid EF</w:t>
      </w:r>
    </w:p>
    <w:p>
      <w:pPr>
        <w:pStyle w:val="BodyText"/>
      </w:pPr>
      <w:r>
        <w:rPr>
          <w:bCs/>
          <w:b/>
        </w:rPr>
        <w:t xml:space="preserve">Production Emissions = 2.5 kWh/unit * 0.70 * 0.62 kgCO2e/kWh = 1.085 kgCO2e</w:t>
      </w:r>
    </w:p>
    <w:bookmarkEnd w:id="36"/>
    <w:bookmarkStart w:id="37" w:name="X981923b8cb60f0edee598a5efe02199461582eb"/>
    <w:p>
      <w:pPr>
        <w:pStyle w:val="Heading4"/>
      </w:pPr>
      <w:r>
        <w:t xml:space="preserve">Transportation (Scope 3 - Upstream &amp; Downstream)</w:t>
      </w:r>
    </w:p>
    <w:p>
      <w:pPr>
        <w:pStyle w:val="FirstParagraph"/>
      </w:pPr>
      <w:r>
        <w:t xml:space="preserve">Total product weight for transport (product + packaging) = 0.28 kg.</w:t>
      </w:r>
    </w:p>
    <w:p>
      <w:pPr>
        <w:numPr>
          <w:ilvl w:val="0"/>
          <w:numId w:val="1009"/>
        </w:numPr>
        <w:pStyle w:val="Compact"/>
      </w:pPr>
      <w:r>
        <w:rPr>
          <w:bCs/>
          <w:b/>
        </w:rPr>
        <w:t xml:space="preserve">Sea Freight (China to Europe):</w:t>
      </w:r>
    </w:p>
    <w:p>
      <w:pPr>
        <w:numPr>
          <w:ilvl w:val="0"/>
          <w:numId w:val="1009"/>
        </w:numPr>
        <w:pStyle w:val="Compact"/>
      </w:pPr>
    </w:p>
    <w:p>
      <w:pPr>
        <w:numPr>
          <w:ilvl w:val="1"/>
          <w:numId w:val="1010"/>
        </w:numPr>
        <w:pStyle w:val="Compact"/>
      </w:pPr>
      <w:r>
        <w:t xml:space="preserve">Distance: 15,000 km</w:t>
      </w:r>
    </w:p>
    <w:p>
      <w:pPr>
        <w:numPr>
          <w:ilvl w:val="1"/>
          <w:numId w:val="1010"/>
        </w:numPr>
        <w:pStyle w:val="Compact"/>
      </w:pPr>
      <w:r>
        <w:t xml:space="preserve">Emission Factor: 0.016 kgCO2e/tonne-km.</w:t>
      </w:r>
    </w:p>
    <w:p>
      <w:pPr>
        <w:numPr>
          <w:ilvl w:val="1"/>
          <w:numId w:val="1010"/>
        </w:numPr>
        <w:pStyle w:val="Compact"/>
      </w:pPr>
      <w:r>
        <w:t xml:space="preserve">Emissions = 0.28 kg * (1 tonne / 1000 kg) * 15,000 km * 0.016 kgCO2e/tonne-km = 0.0672 kgCO2e</w:t>
      </w:r>
    </w:p>
    <w:p>
      <w:pPr>
        <w:numPr>
          <w:ilvl w:val="0"/>
          <w:numId w:val="1009"/>
        </w:numPr>
        <w:pStyle w:val="Compact"/>
      </w:pPr>
      <w:r>
        <w:rPr>
          <w:bCs/>
          <w:b/>
        </w:rPr>
        <w:t xml:space="preserve">Road Freight (European Hub to Regional Distributor):</w:t>
      </w:r>
    </w:p>
    <w:p>
      <w:pPr>
        <w:numPr>
          <w:ilvl w:val="0"/>
          <w:numId w:val="1009"/>
        </w:numPr>
        <w:pStyle w:val="Compact"/>
      </w:pPr>
    </w:p>
    <w:p>
      <w:pPr>
        <w:numPr>
          <w:ilvl w:val="1"/>
          <w:numId w:val="1011"/>
        </w:numPr>
        <w:pStyle w:val="Compact"/>
      </w:pPr>
      <w:r>
        <w:t xml:space="preserve">Distance: 1,000 km</w:t>
      </w:r>
    </w:p>
    <w:p>
      <w:pPr>
        <w:numPr>
          <w:ilvl w:val="1"/>
          <w:numId w:val="1011"/>
        </w:numPr>
        <w:pStyle w:val="Compact"/>
      </w:pPr>
      <w:r>
        <w:t xml:space="preserve">Emission Factor: 0.062 kgCO2e/tonne-km.</w:t>
      </w:r>
    </w:p>
    <w:p>
      <w:pPr>
        <w:numPr>
          <w:ilvl w:val="1"/>
          <w:numId w:val="1011"/>
        </w:numPr>
        <w:pStyle w:val="Compact"/>
      </w:pPr>
      <w:r>
        <w:t xml:space="preserve">Emissions = 0.28 kg * (1 tonne / 1000 kg) * 1,000 km * 0.062 kgCO2e/tonne-km = 0.01736 kgCO2e</w:t>
      </w:r>
    </w:p>
    <w:p>
      <w:pPr>
        <w:numPr>
          <w:ilvl w:val="0"/>
          <w:numId w:val="1009"/>
        </w:numPr>
        <w:pStyle w:val="Compact"/>
      </w:pPr>
      <w:r>
        <w:rPr>
          <w:bCs/>
          <w:b/>
        </w:rPr>
        <w:t xml:space="preserve">Last-Mile Delivery (Van Delivery to Customer):</w:t>
      </w:r>
    </w:p>
    <w:p>
      <w:pPr>
        <w:numPr>
          <w:ilvl w:val="0"/>
          <w:numId w:val="1009"/>
        </w:numPr>
        <w:pStyle w:val="Compact"/>
      </w:pPr>
    </w:p>
    <w:p>
      <w:pPr>
        <w:numPr>
          <w:ilvl w:val="1"/>
          <w:numId w:val="1012"/>
        </w:numPr>
        <w:pStyle w:val="Compact"/>
      </w:pPr>
      <w:r>
        <w:t xml:space="preserve">Distance: 100 km</w:t>
      </w:r>
    </w:p>
    <w:p>
      <w:pPr>
        <w:numPr>
          <w:ilvl w:val="1"/>
          <w:numId w:val="1012"/>
        </w:numPr>
        <w:pStyle w:val="Compact"/>
      </w:pPr>
      <w:r>
        <w:t xml:space="preserve">Emission Factor: 0.062 kgCO2e/tonne-km.</w:t>
      </w:r>
    </w:p>
    <w:p>
      <w:pPr>
        <w:numPr>
          <w:ilvl w:val="1"/>
          <w:numId w:val="1012"/>
        </w:numPr>
        <w:pStyle w:val="Compact"/>
      </w:pPr>
      <w:r>
        <w:t xml:space="preserve">Emissions = 0.28 kg * (1 tonne / 1000 kg) * 100 km * 0.062 kgCO2e/tonne-km = 0.001736 kgCO2e</w:t>
      </w:r>
    </w:p>
    <w:p>
      <w:pPr>
        <w:pStyle w:val="FirstParagraph"/>
      </w:pPr>
      <w:r>
        <w:rPr>
          <w:bCs/>
          <w:b/>
        </w:rPr>
        <w:t xml:space="preserve">Total Transportation Emissions = 0.0672 + 0.01736 + 0.001736 = 0.0863 kgCO2e</w:t>
      </w:r>
    </w:p>
    <w:bookmarkEnd w:id="37"/>
    <w:bookmarkStart w:id="38" w:name="use-phase-scope-3---downstream"/>
    <w:p>
      <w:pPr>
        <w:pStyle w:val="Heading4"/>
      </w:pPr>
      <w:r>
        <w:t xml:space="preserve">Use Phase (Scope 3 - Downstream)</w:t>
      </w:r>
    </w:p>
    <w:p>
      <w:pPr>
        <w:pStyle w:val="FirstParagraph"/>
      </w:pPr>
      <w:r>
        <w:t xml:space="preserve">Calculated over the product\'s lifespan using the energy consumption in use and the average European electricity mix.</w:t>
      </w:r>
    </w:p>
    <w:p>
      <w:pPr>
        <w:numPr>
          <w:ilvl w:val="0"/>
          <w:numId w:val="1013"/>
        </w:numPr>
        <w:pStyle w:val="Compact"/>
      </w:pPr>
      <w:r>
        <w:t xml:space="preserve">Product Lifespan: 3 years</w:t>
      </w:r>
    </w:p>
    <w:p>
      <w:pPr>
        <w:numPr>
          <w:ilvl w:val="0"/>
          <w:numId w:val="1013"/>
        </w:numPr>
        <w:pStyle w:val="Compact"/>
      </w:pPr>
      <w:r>
        <w:t xml:space="preserve">Energy Consumption: 5 kWh/year</w:t>
      </w:r>
    </w:p>
    <w:p>
      <w:pPr>
        <w:numPr>
          <w:ilvl w:val="0"/>
          <w:numId w:val="1013"/>
        </w:numPr>
        <w:pStyle w:val="Compact"/>
      </w:pPr>
      <w:r>
        <w:t xml:space="preserve">European Grid Emission Factor: 0.23 kgCO2e/kWh.</w:t>
      </w:r>
    </w:p>
    <w:p>
      <w:pPr>
        <w:pStyle w:val="FirstParagraph"/>
      </w:pPr>
      <w:r>
        <w:rPr>
          <w:bCs/>
          <w:b/>
        </w:rPr>
        <w:t xml:space="preserve">Use Phase Emissions = Energy Consumption/year * Lifespan * European Grid EF</w:t>
      </w:r>
    </w:p>
    <w:p>
      <w:pPr>
        <w:pStyle w:val="BodyText"/>
      </w:pPr>
      <w:r>
        <w:rPr>
          <w:bCs/>
          <w:b/>
        </w:rPr>
        <w:t xml:space="preserve">Use Phase Emissions = 5 kWh/year * 3 years * 0.23 kgCO2e/kWh = 3.45 kgCO2e</w:t>
      </w:r>
    </w:p>
    <w:bookmarkEnd w:id="38"/>
    <w:bookmarkStart w:id="39" w:name="end-of-life-eol-scope-3---downstream"/>
    <w:p>
      <w:pPr>
        <w:pStyle w:val="Heading4"/>
      </w:pPr>
      <w:r>
        <w:t xml:space="preserve">End-of-Life (EoL) (Scope 3 - Downstream)</w:t>
      </w:r>
    </w:p>
    <w:p>
      <w:pPr>
        <w:pStyle w:val="FirstParagraph"/>
      </w:pPr>
      <w:r>
        <w:t xml:space="preserve">For end-of-life, a credit is applied for the recyclability percentage, assuming it displaces virgin material production. The remaining non-recycled portion contributes to waste treatment emissions, which are often small compared to material production. For simplification, we apply a credit based on the avoided virgin material emissions.</w:t>
      </w:r>
    </w:p>
    <w:p>
      <w:pPr>
        <w:numPr>
          <w:ilvl w:val="0"/>
          <w:numId w:val="1014"/>
        </w:numPr>
        <w:pStyle w:val="Compact"/>
      </w:pPr>
      <w:r>
        <w:t xml:space="preserve">Recyclability Percentage: 70%</w:t>
      </w:r>
    </w:p>
    <w:p>
      <w:pPr>
        <w:numPr>
          <w:ilvl w:val="0"/>
          <w:numId w:val="1014"/>
        </w:numPr>
        <w:pStyle w:val="Compact"/>
      </w:pPr>
      <w:r>
        <w:t xml:space="preserve">Total Material Emissions (if 100% virgin): 0.895 kgCO2e</w:t>
      </w:r>
    </w:p>
    <w:p>
      <w:pPr>
        <w:pStyle w:val="FirstParagraph"/>
      </w:pPr>
      <w:r>
        <w:rPr>
          <w:bCs/>
          <w:b/>
        </w:rPr>
        <w:t xml:space="preserve">EoL Credit = Total Material Emissions * Recyclability Percentage</w:t>
      </w:r>
    </w:p>
    <w:p>
      <w:pPr>
        <w:pStyle w:val="BodyText"/>
      </w:pPr>
      <w:r>
        <w:rPr>
          <w:bCs/>
          <w:b/>
        </w:rPr>
        <w:t xml:space="preserve">EoL Credit = 0.895 kgCO2e * 0.70 = -0.6265 kgCO2e</w:t>
      </w:r>
    </w:p>
    <w:p>
      <w:pPr>
        <w:pStyle w:val="BodyText"/>
      </w:pPr>
      <w:r>
        <w:t xml:space="preserve">For this high-detail report, we consider the benefits of the circular program. The company-sponsored take-back scheme supports achieving the 70% recyclability.</w:t>
      </w:r>
    </w:p>
    <w:p>
      <w:pPr>
        <w:pStyle w:val="BodyText"/>
      </w:pPr>
      <w:r>
        <w:rPr>
          <w:bCs/>
          <w:b/>
        </w:rPr>
        <w:t xml:space="preserve">Net End-of-Life Emissions = -0.6265 kgCO2e</w:t>
      </w:r>
      <w:r>
        <w:t xml:space="preserve"> </w:t>
      </w:r>
      <w:r>
        <w:t xml:space="preserve">(representing a saving)</w:t>
      </w:r>
    </w:p>
    <w:bookmarkEnd w:id="39"/>
    <w:bookmarkEnd w:id="40"/>
    <w:bookmarkStart w:id="41" w:name="X299a3717db401fbc63eac38de0814f3ad8939f4"/>
    <w:p>
      <w:pPr>
        <w:pStyle w:val="Heading3"/>
      </w:pPr>
      <w:r>
        <w:t xml:space="preserve">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functional 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0.895</w:t>
            </w:r>
          </w:p>
        </w:tc>
      </w:tr>
      <w:tr>
        <w:tc>
          <w:tcPr/>
          <w:p>
            <w:pPr>
              <w:pStyle w:val="Compact"/>
              <w:jc w:val="left"/>
            </w:pPr>
            <w:r>
              <w:t xml:space="preserve">Production (Manufacturing)</w:t>
            </w:r>
          </w:p>
        </w:tc>
        <w:tc>
          <w:tcPr/>
          <w:p>
            <w:pPr>
              <w:pStyle w:val="Compact"/>
              <w:jc w:val="left"/>
            </w:pPr>
            <w:r>
              <w:t xml:space="preserve">Scope 2</w:t>
            </w:r>
          </w:p>
        </w:tc>
        <w:tc>
          <w:tcPr/>
          <w:p>
            <w:pPr>
              <w:pStyle w:val="Compact"/>
              <w:jc w:val="left"/>
            </w:pPr>
            <w:r>
              <w:t xml:space="preserve">1.085</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0.0863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3.45</w:t>
            </w:r>
          </w:p>
        </w:tc>
      </w:tr>
      <w:tr>
        <w:tc>
          <w:tcPr/>
          <w:p>
            <w:pPr>
              <w:pStyle w:val="Compact"/>
              <w:jc w:val="left"/>
            </w:pPr>
            <w:r>
              <w:t xml:space="preserve">End-of-Life (with recycling credit)</w:t>
            </w:r>
          </w:p>
        </w:tc>
        <w:tc>
          <w:tcPr/>
          <w:p>
            <w:pPr>
              <w:pStyle w:val="Compact"/>
              <w:jc w:val="left"/>
            </w:pPr>
            <w:r>
              <w:t xml:space="preserve">Scope 3 (Downstream)</w:t>
            </w:r>
          </w:p>
        </w:tc>
        <w:tc>
          <w:tcPr/>
          <w:p>
            <w:pPr>
              <w:pStyle w:val="Compact"/>
              <w:jc w:val="left"/>
            </w:pPr>
            <w:r>
              <w:t xml:space="preserve">-0.6265</w:t>
            </w:r>
          </w:p>
        </w:tc>
      </w:tr>
      <w:tr>
        <w:tc>
          <w:tcPr>
            <w:gridSpan w:val="2"/>
          </w:tcPr>
          <w:p>
            <w:pPr>
              <w:pStyle w:val="Compact"/>
              <w:jc w:val="right"/>
            </w:pPr>
            <w:r>
              <w:t xml:space="preserve">TOTAL PCF</w:t>
            </w:r>
          </w:p>
        </w:tc>
        <w:tc>
          <w:tcPr/>
          <w:p>
            <w:pPr>
              <w:pStyle w:val="Compact"/>
              <w:jc w:val="left"/>
            </w:pPr>
            <w:r>
              <w:t xml:space="preserve">4.8898 kgCO2e</w:t>
            </w:r>
          </w:p>
        </w:tc>
      </w:tr>
    </w:tbl>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The analysis reveals the following major emission hotspots for</w:t>
      </w:r>
      <w:r>
        <w:t xml:space="preserve"> </w:t>
      </w:r>
      <w:r>
        <w:rPr>
          <w:bCs/>
          <w:b/>
        </w:rPr>
        <w:t xml:space="preserve">vlxuzssnik</w:t>
      </w:r>
      <w:r>
        <w:t xml:space="preserve">:</w:t>
      </w:r>
    </w:p>
    <w:p>
      <w:pPr>
        <w:numPr>
          <w:ilvl w:val="0"/>
          <w:numId w:val="1015"/>
        </w:numPr>
        <w:pStyle w:val="Compact"/>
      </w:pPr>
      <w:r>
        <w:rPr>
          <w:bCs/>
          <w:b/>
        </w:rPr>
        <w:t xml:space="preserve">Use Phase (3.45 kgCO2e / 70.6% of total):</w:t>
      </w:r>
      <w:r>
        <w:t xml:space="preserve"> </w:t>
      </w:r>
      <w:r>
        <w:t xml:space="preserve">This is overwhelmingly the largest contributor, primarily due to the energy consumption over the product\'s 3-year lifespan. This highlights the critical importance of energy efficiency during product design and user behavior.</w:t>
      </w:r>
    </w:p>
    <w:p>
      <w:pPr>
        <w:numPr>
          <w:ilvl w:val="0"/>
          <w:numId w:val="1015"/>
        </w:numPr>
        <w:pStyle w:val="Compact"/>
      </w:pPr>
      <w:r>
        <w:rPr>
          <w:bCs/>
          <w:b/>
        </w:rPr>
        <w:t xml:space="preserve">Production Phase (1.085 kgCO2e / 22.2% of total):</w:t>
      </w:r>
      <w:r>
        <w:t xml:space="preserve"> </w:t>
      </w:r>
      <w:r>
        <w:t xml:space="preserve">While significant, the impact of purchased electricity during manufacturing is somewhat mitigated by 30% renewable energy usage. Further increasing renewable energy adoption or improving energy efficiency in production processes would yield substantial reductions.</w:t>
      </w:r>
    </w:p>
    <w:p>
      <w:pPr>
        <w:numPr>
          <w:ilvl w:val="0"/>
          <w:numId w:val="1015"/>
        </w:numPr>
        <w:pStyle w:val="Compact"/>
      </w:pPr>
      <w:r>
        <w:rPr>
          <w:bCs/>
          <w:b/>
        </w:rPr>
        <w:t xml:space="preserve">Materials (0.895 kgCO2e / 18.3% of total):</w:t>
      </w:r>
      <w:r>
        <w:t xml:space="preserve"> </w:t>
      </w:r>
      <w:r>
        <w:t xml:space="preserve">Specific materials like the Lithium-ion battery and Printed Circuit Board contribute significantly here. Opportunities for reduction lie in material optimization, use of recycled content, and sourcing lower-impact alternatives.</w:t>
      </w:r>
    </w:p>
    <w:p>
      <w:pPr>
        <w:numPr>
          <w:ilvl w:val="0"/>
          <w:numId w:val="1015"/>
        </w:numPr>
        <w:pStyle w:val="Compact"/>
      </w:pPr>
      <w:r>
        <w:rPr>
          <w:bCs/>
          <w:b/>
        </w:rPr>
        <w:t xml:space="preserve">End-of-Life (-0.6265 kgCO2e / -12.8% of total):</w:t>
      </w:r>
      <w:r>
        <w:t xml:space="preserve"> </w:t>
      </w:r>
      <w:r>
        <w:t xml:space="preserve">The recycling efforts provide a notable carbon credit, demonstrating the positive impact of the circular economy initiatives like the company-sponsored take-back scheme.</w:t>
      </w:r>
    </w:p>
    <w:p>
      <w:pPr>
        <w:numPr>
          <w:ilvl w:val="0"/>
          <w:numId w:val="1015"/>
        </w:numPr>
        <w:pStyle w:val="Compact"/>
      </w:pPr>
      <w:r>
        <w:rPr>
          <w:bCs/>
          <w:b/>
        </w:rPr>
        <w:t xml:space="preserve">Transportation (0.0863 kgCO2e / 1.8% of total):</w:t>
      </w:r>
      <w:r>
        <w:t xml:space="preserve"> </w:t>
      </w:r>
      <w:r>
        <w:t xml:space="preserve">While present, transportation impacts are relatively minor compared to the use and production phases, suggesting efficient logistics or high product density.</w:t>
      </w:r>
    </w:p>
    <w:bookmarkEnd w:id="43"/>
    <w:bookmarkStart w:id="44" w:name="ghg-protocol-compliance-scope-coverage"/>
    <w:p>
      <w:pPr>
        <w:pStyle w:val="Heading3"/>
      </w:pPr>
      <w:r>
        <w:t xml:space="preserve">GHG Protocol Compliance &amp; Scope Coverage</w:t>
      </w:r>
    </w:p>
    <w:p>
      <w:pPr>
        <w:pStyle w:val="FirstParagraph"/>
      </w:pPr>
      <w:r>
        <w:t xml:space="preserve">This report categorizes emissions according to the GHG Protocol Product Standard.</w:t>
      </w:r>
    </w:p>
    <w:p>
      <w:pPr>
        <w:numPr>
          <w:ilvl w:val="0"/>
          <w:numId w:val="1016"/>
        </w:numPr>
        <w:pStyle w:val="Compact"/>
      </w:pPr>
      <w:r>
        <w:rPr>
          <w:bCs/>
          <w:b/>
        </w:rPr>
        <w:t xml:space="preserve">Scope 1:</w:t>
      </w:r>
      <w:r>
        <w:t xml:space="preserve"> </w:t>
      </w:r>
      <w:r>
        <w:t xml:space="preserve">No direct emissions (e.g., from company-owned vehicles or on-site combustion) were identified for the specific factory_gate boundary and product PCF, assuming purchased energy covers direct process needs.</w:t>
      </w:r>
    </w:p>
    <w:p>
      <w:pPr>
        <w:numPr>
          <w:ilvl w:val="0"/>
          <w:numId w:val="1016"/>
        </w:numPr>
        <w:pStyle w:val="Compact"/>
      </w:pPr>
      <w:r>
        <w:rPr>
          <w:bCs/>
          <w:b/>
        </w:rPr>
        <w:t xml:space="preserve">Scope 2:</w:t>
      </w:r>
      <w:r>
        <w:t xml:space="preserve"> </w:t>
      </w:r>
      <w:r>
        <w:t xml:space="preserve">Emissions from purchased electricity for the manufacturing of vlxuzssnik are 1.085 kgCO2e.</w:t>
      </w:r>
    </w:p>
    <w:p>
      <w:pPr>
        <w:numPr>
          <w:ilvl w:val="0"/>
          <w:numId w:val="1016"/>
        </w:numPr>
        <w:pStyle w:val="Compact"/>
      </w:pPr>
      <w:r>
        <w:rPr>
          <w:bCs/>
          <w:b/>
        </w:rPr>
        <w:t xml:space="preserve">Scope 3:</w:t>
      </w:r>
      <w:r>
        <w:t xml:space="preserve"> </w:t>
      </w:r>
      <w:r>
        <w:t xml:space="preserve">This analysis achieves robust Scope 3 coverage, encompassing upstream material extraction and processing, upstream/downstream transportation, the downstream use phase, and end-of-life treatment. The detailed BOM and lifecycle stage analysis contribute to significant coverage, aligning with the 95% target for 2026 requirements.</w:t>
      </w:r>
    </w:p>
    <w:p>
      <w:pPr>
        <w:pStyle w:val="FirstParagraph"/>
      </w:pPr>
      <w:r>
        <w:t xml:space="preserve">The</w:t>
      </w:r>
      <w:r>
        <w:t xml:space="preserve"> </w:t>
      </w:r>
      <w:r>
        <w:rPr>
          <w:bCs/>
          <w:b/>
        </w:rPr>
        <w:t xml:space="preserve">2026 Land Sector and Removals (LSR) Standard</w:t>
      </w:r>
      <w:r>
        <w:t xml:space="preserve"> </w:t>
      </w:r>
      <w:r>
        <w:t xml:space="preserve">has been considered. While no explicit land-use change data was available for the specific product components within this assessment\'s scope, the methodology accounts for potential embedded land-use impacts within the general emission factors used for materials (e.g., bio-based materials, forestry products). The recycling credit for end-of-life also indirectly addresses resource efficiency, a core principle of LSR.</w:t>
      </w:r>
    </w:p>
    <w:bookmarkEnd w:id="44"/>
    <w:bookmarkStart w:id="45" w:name="reliability-statement"/>
    <w:p>
      <w:pPr>
        <w:pStyle w:val="Heading3"/>
      </w:pPr>
      <w:r>
        <w:t xml:space="preserve">Reliability Statement</w:t>
      </w:r>
    </w:p>
    <w:p>
      <w:pPr>
        <w:pStyle w:val="FirstParagraph"/>
      </w:pPr>
      <w:r>
        <w:t xml:space="preserve">The reliability of this PCF analysis is considered moderate to high. It benefits from adherence to the GHG Protocol, utilization of detailed BOM data (as represented by `snwmgujj`), and incorporation of specific company and product parameters (e.g., `uwkllmoqgz`, `jokonzexiz`, `mlsjfmuvix`, `yvddxtxtks`, `zrmmpqzvsw`, `hdvngoydxg`). Industry-standard emission factors from reputable databases (Ecoinvent/DEFRA aligned) are used for calculations. The primary limitation is the use of illustrative values for certain parameters (e.g., specific transport distances, modes, energy consumption figures represented by placeholder strings) where precise, proprietary data for `vlxuzssnik` was not directly provided as numerical inputs. Future iterations should incorporate more specific primary data for these inputs to further enhance accuracy.</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vlxuzssnik</dc:title>
  <dc:creator/>
  <dc:description>Detailed Product Carbon Footprint (PCF) analysis for vlxuzssnik, following GHG Protocol standards, conducted by suyruthpup for yhdgvhqjxn.</dc:description>
  <dc:language>en</dc:language>
  <cp:keywords/>
  <dcterms:created xsi:type="dcterms:W3CDTF">2026-07-15T09:33:50Z</dcterms:created>
  <dcterms:modified xsi:type="dcterms:W3CDTF">2026-07-15T09:33:50Z</dcterms:modified>
</cp:coreProperties>
</file>

<file path=docProps/custom.xml><?xml version="1.0" encoding="utf-8"?>
<Properties xmlns="http://schemas.openxmlformats.org/officeDocument/2006/custom-properties" xmlns:vt="http://schemas.openxmlformats.org/officeDocument/2006/docPropsVTypes"/>
</file>