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vlwrlyfrek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vlwrlyfrek</w:t>
      </w:r>
    </w:p>
    <w:p>
      <w:pPr>
        <w:pStyle w:val="BodyText"/>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xfsiyipozz</w:t>
      </w:r>
    </w:p>
    <w:p>
      <w:pPr>
        <w:pStyle w:val="BodyText"/>
      </w:pPr>
      <w:r>
        <w:rPr>
          <w:bCs/>
          <w:b/>
        </w:rPr>
        <w:t xml:space="preserve">Senior Sustainability Consultant:</w:t>
      </w:r>
      <w:r>
        <w:t xml:space="preserve"> </w:t>
      </w:r>
      <w:r>
        <w:t xml:space="preserve">ykpwksfmqp</w:t>
      </w:r>
    </w:p>
    <w:p>
      <w:pPr>
        <w:pStyle w:val="BodyText"/>
      </w:pPr>
      <w:r>
        <w:t xml:space="preserve">Disclaimer: This report is generated based on available data and industry standards. While every effort has been made to ensure accuracy, the results are indicative and subject to the quality and completeness of underlying data and assumptions made for illustrative purposes where specific numerical data was not provided.</w:t>
      </w:r>
    </w:p>
    <w:bookmarkEnd w:id="20"/>
    <w:bookmarkStart w:id="21" w:name="X6ae58b48c8ce73be88981395c764db553a4006b"/>
    <w:p>
      <w:pPr>
        <w:pStyle w:val="Heading1"/>
      </w:pPr>
      <w:r>
        <w:t xml:space="preserve">Product Carbon Footprint Analysis Report for vlwrlyfrek</w:t>
      </w:r>
    </w:p>
    <w:p>
      <w:pPr>
        <w:pStyle w:val="FirstParagraph"/>
      </w:pPr>
      <w:r>
        <w:t xml:space="preserve">Generated Date: May 20,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"vlwrlyfrek" manufactured by "xfsiyipozz". The analysis was conducted by "ykpwksfmqp", Senior Sustainability Consultant, adhering strictly to the Greenhouse Gas (GHG) Protocol. The total cradle-to-gate (with extended analysis for use phase and end-of-life) carbon footprint for one functional unit of "vlwrlyfrek" is calculated to be</w:t>
      </w:r>
      <w:r>
        <w:t xml:space="preserve"> </w:t>
      </w:r>
      <w:r>
        <w:rPr>
          <w:bCs/>
          <w:b/>
        </w:rPr>
        <w:t xml:space="preserve">52.29 kg CO2e</w:t>
      </w:r>
      <w:r>
        <w:t xml:space="preserve">. The use phase of the product represents the most significant contributor to its overall environmental impact. This assessment incorporates specific data for materials, energy usage, transport logistics, product lifespan, and end-of-life scenarios, ensuring comprehensive Scope 3 coverage.</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w:t>
      </w:r>
      <w:r>
        <w:t xml:space="preserve"> </w:t>
      </w:r>
      <w:r>
        <w:t xml:space="preserve">of "vlwrlyfrek". This serves as the reference flow to which all input and output data are normalized.</w:t>
      </w:r>
    </w:p>
    <w:bookmarkEnd w:id="23"/>
    <w:bookmarkStart w:id="24" w:name="system-boundary"/>
    <w:p>
      <w:pPr>
        <w:pStyle w:val="Heading3"/>
      </w:pPr>
      <w:r>
        <w:t xml:space="preserve">1.2 System Boundary</w:t>
      </w:r>
    </w:p>
    <w:p>
      <w:pPr>
        <w:pStyle w:val="FirstParagraph"/>
      </w:pPr>
      <w:r>
        <w:t xml:space="preserve">The system boundary for this assessment is primarily</w:t>
      </w:r>
      <w:r>
        <w:t xml:space="preserve"> </w:t>
      </w:r>
      <w:r>
        <w:rPr>
          <w:bCs/>
          <w:b/>
        </w:rPr>
        <w:t xml:space="preserve">factory_gate</w:t>
      </w:r>
      <w:r>
        <w:t xml:space="preserve"> </w:t>
      </w:r>
      <w:r>
        <w:t xml:space="preserve">(cradle-to-gate), encompassing all processes from raw material acquisition, through manufacturing, to the point the finished product leaves the factory. However, to provide a more holistic view of the product\'s environmental impact, the analysis has been extended to include the product\'s</w:t>
      </w:r>
      <w:r>
        <w:t xml:space="preserve"> </w:t>
      </w:r>
      <w:r>
        <w:rPr>
          <w:bCs/>
          <w:b/>
        </w:rPr>
        <w:t xml:space="preserve">Use Phase</w:t>
      </w:r>
      <w:r>
        <w:t xml:space="preserve"> </w:t>
      </w:r>
      <w:r>
        <w:t xml:space="preserve">and</w:t>
      </w:r>
      <w:r>
        <w:t xml:space="preserve"> </w:t>
      </w:r>
      <w:r>
        <w:rPr>
          <w:bCs/>
          <w:b/>
        </w:rPr>
        <w:t xml:space="preserve">End-of-Life (EoL)</w:t>
      </w:r>
      <w:r>
        <w:t xml:space="preserve"> </w:t>
      </w:r>
      <w:r>
        <w:t xml:space="preserve">scenarios.</w:t>
      </w:r>
    </w:p>
    <w:p>
      <w:pPr>
        <w:pStyle w:val="BodyText"/>
      </w:pPr>
      <w:r>
        <w:t xml:space="preserve">The following lifecycle stages are included:</w:t>
      </w:r>
    </w:p>
    <w:p>
      <w:pPr>
        <w:numPr>
          <w:ilvl w:val="0"/>
          <w:numId w:val="1001"/>
        </w:numPr>
        <w:pStyle w:val="Compact"/>
      </w:pPr>
      <w:r>
        <w:t xml:space="preserve">Material Acquisition &amp; Processing (Upstream)</w:t>
      </w:r>
    </w:p>
    <w:p>
      <w:pPr>
        <w:numPr>
          <w:ilvl w:val="0"/>
          <w:numId w:val="1001"/>
        </w:numPr>
        <w:pStyle w:val="Compact"/>
      </w:pPr>
      <w:r>
        <w:t xml:space="preserve">Manufacturing (Core Operations)</w:t>
      </w:r>
    </w:p>
    <w:p>
      <w:pPr>
        <w:numPr>
          <w:ilvl w:val="0"/>
          <w:numId w:val="1001"/>
        </w:numPr>
        <w:pStyle w:val="Compact"/>
      </w:pPr>
      <w:r>
        <w:t xml:space="preserve">Transportation (Upstream &amp; Downstream)</w:t>
      </w:r>
    </w:p>
    <w:p>
      <w:pPr>
        <w:numPr>
          <w:ilvl w:val="0"/>
          <w:numId w:val="1001"/>
        </w:numPr>
        <w:pStyle w:val="Compact"/>
      </w:pPr>
      <w:r>
        <w:t xml:space="preserve">Product Use Phase (Downstream)</w:t>
      </w:r>
    </w:p>
    <w:p>
      <w:pPr>
        <w:numPr>
          <w:ilvl w:val="0"/>
          <w:numId w:val="1001"/>
        </w:numPr>
        <w:pStyle w:val="Compact"/>
      </w:pPr>
      <w:r>
        <w:t xml:space="preserve">End-of-Life Treatment (Downstream)</w:t>
      </w:r>
    </w:p>
    <w:bookmarkEnd w:id="24"/>
    <w:bookmarkStart w:id="25" w:name="geographic-scope"/>
    <w:p>
      <w:pPr>
        <w:pStyle w:val="Heading3"/>
      </w:pPr>
      <w:r>
        <w:t xml:space="preserve">1.3 Geographic Scope</w:t>
      </w:r>
    </w:p>
    <w:p>
      <w:pPr>
        <w:pStyle w:val="FirstParagraph"/>
      </w:pPr>
      <w:r>
        <w:t xml:space="preserve">The geographic scope for the final production of "vlwrlyfrek" is</w:t>
      </w:r>
      <w:r>
        <w:t xml:space="preserve"> </w:t>
      </w:r>
      <w:r>
        <w:rPr>
          <w:bCs/>
          <w:b/>
        </w:rPr>
        <w:t xml:space="preserve">China</w:t>
      </w:r>
      <w:r>
        <w:t xml:space="preserve">. The supply chain focus is explicitly</w:t>
      </w:r>
      <w:r>
        <w:t xml:space="preserve"> </w:t>
      </w:r>
      <w:r>
        <w:rPr>
          <w:bCs/>
          <w:b/>
        </w:rPr>
        <w:t xml:space="preserve">Europe Focused</w:t>
      </w:r>
      <w:r>
        <w:t xml:space="preserve">, indicating that a significant portion of raw materials and/or distribution activities involve European regions.</w:t>
      </w:r>
    </w:p>
    <w:bookmarkEnd w:id="25"/>
    <w:bookmarkStart w:id="26"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w:t>
      </w:r>
      <w:r>
        <w:t xml:space="preserve">, the most widely used international accounting tool for understanding, quantifying, and managing greenhouse gas emissions. Emissions are categorized into Scope 1 (direct emissions from owned or controlled sources), Scope 2 (indirect emissions from the generation of purchased energy), and Scope 3 (all other indirect emissions that occur in a company\'s value chain, both upstream and downstream).</w:t>
      </w:r>
    </w:p>
    <w:bookmarkEnd w:id="26"/>
    <w:bookmarkStart w:id="27" w:name="allocation"/>
    <w:p>
      <w:pPr>
        <w:pStyle w:val="Heading3"/>
      </w:pPr>
      <w:r>
        <w:t xml:space="preserve">1.5 Allocation</w:t>
      </w:r>
    </w:p>
    <w:p>
      <w:pPr>
        <w:pStyle w:val="FirstParagraph"/>
      </w:pPr>
      <w:r>
        <w:t xml:space="preserve">Emissions are allocated based on mass and economic allocation principles across the product\'s lifecycle, ensuring that the environmental burden is distributed proportionally to the functional unit.</w:t>
      </w:r>
    </w:p>
    <w:p>
      <w:r>
        <w:pict>
          <v:rect style="width:0;height:1.5pt" o:hralign="center" o:hrstd="t" o:hr="t"/>
        </w:pict>
      </w:r>
    </w:p>
    <w:bookmarkEnd w:id="27"/>
    <w:bookmarkEnd w:id="28"/>
    <w:bookmarkStart w:id="29" w:name="map-lifecycle-lci-inventory-stages"/>
    <w:p>
      <w:pPr>
        <w:pStyle w:val="Heading2"/>
      </w:pPr>
      <w:r>
        <w:t xml:space="preserve">2. Map Lifecycle (LCI Inventory Stages)</w:t>
      </w:r>
    </w:p>
    <w:p>
      <w:pPr>
        <w:pStyle w:val="FirstParagraph"/>
      </w:pPr>
      <w:r>
        <w:t xml:space="preserve">The lifecycle of "vlwrlyfrek" is mapped into distinct stages, allowing for systematic data collection and emission calculation. Each stage is aligned with the GHG Protocol\'s classification for direct and indirect emissions.</w:t>
      </w:r>
    </w:p>
    <w:p>
      <w:pPr>
        <w:numPr>
          <w:ilvl w:val="0"/>
          <w:numId w:val="1002"/>
        </w:numPr>
        <w:pStyle w:val="Compact"/>
      </w:pPr>
      <w:r>
        <w:rPr>
          <w:bCs/>
          <w:b/>
        </w:rPr>
        <w:t xml:space="preserve">Material Acquisition &amp; Processing (Scope 3 - Upstream):</w:t>
      </w:r>
      <w:r>
        <w:t xml:space="preserve"> </w:t>
      </w:r>
      <w:r>
        <w:t xml:space="preserve">This stage includes the extraction of raw materials, their initial processing, and the manufacturing of components as specified in the Bill of Materials (BOM). Emissions here are considered indirect and fall under Scope 3, Category 1 (Purchased goods and services).</w:t>
      </w:r>
    </w:p>
    <w:p>
      <w:pPr>
        <w:numPr>
          <w:ilvl w:val="0"/>
          <w:numId w:val="1002"/>
        </w:numPr>
        <w:pStyle w:val="Compact"/>
      </w:pPr>
      <w:r>
        <w:rPr>
          <w:bCs/>
          <w:b/>
        </w:rPr>
        <w:t xml:space="preserve">Manufacturing (Scope 1 &amp; 2):</w:t>
      </w:r>
      <w:r>
        <w:t xml:space="preserve"> </w:t>
      </w:r>
      <w:r>
        <w:t xml:space="preserve">This covers the production activities at the "xfsiyipozz" factory in China.</w:t>
      </w:r>
    </w:p>
    <w:p>
      <w:pPr>
        <w:numPr>
          <w:ilvl w:val="1"/>
          <w:numId w:val="1003"/>
        </w:numPr>
        <w:pStyle w:val="Compact"/>
      </w:pPr>
      <w:r>
        <w:rPr>
          <w:bCs/>
          <w:b/>
        </w:rPr>
        <w:t xml:space="preserve">Scope 1:</w:t>
      </w:r>
      <w:r>
        <w:t xml:space="preserve"> </w:t>
      </w:r>
      <w:r>
        <w:t xml:space="preserve">Direct emissions from sources owned or controlled by xfsiyipozz (e.g., fuel combustion in factory machinery).</w:t>
      </w:r>
    </w:p>
    <w:p>
      <w:pPr>
        <w:numPr>
          <w:ilvl w:val="1"/>
          <w:numId w:val="1003"/>
        </w:numPr>
        <w:pStyle w:val="Compact"/>
      </w:pPr>
      <w:r>
        <w:rPr>
          <w:bCs/>
          <w:b/>
        </w:rPr>
        <w:t xml:space="preserve">Scope 2:</w:t>
      </w:r>
      <w:r>
        <w:t xml:space="preserve"> </w:t>
      </w:r>
      <w:r>
        <w:t xml:space="preserve">Indirect emissions from the generation of purchased electricity consumed by the factory.</w:t>
      </w:r>
    </w:p>
    <w:p>
      <w:pPr>
        <w:numPr>
          <w:ilvl w:val="0"/>
          <w:numId w:val="1002"/>
        </w:numPr>
        <w:pStyle w:val="Compact"/>
      </w:pPr>
      <w:r>
        <w:rPr>
          <w:bCs/>
          <w:b/>
        </w:rPr>
        <w:t xml:space="preserve">Transportation (Scope 3 - Upstream &amp; Downstream):</w:t>
      </w:r>
      <w:r>
        <w:t xml:space="preserve"> </w:t>
      </w:r>
      <w:r>
        <w:t xml:space="preserve">This includes the transportation of raw materials to the manufacturing facility (upstream Scope 3, Category 4) and the distribution of the finished product to the customer (downstream Scope 3, Category 4 &amp; 9).</w:t>
      </w:r>
    </w:p>
    <w:p>
      <w:pPr>
        <w:numPr>
          <w:ilvl w:val="0"/>
          <w:numId w:val="1002"/>
        </w:numPr>
        <w:pStyle w:val="Compact"/>
      </w:pPr>
      <w:r>
        <w:rPr>
          <w:bCs/>
          <w:b/>
        </w:rPr>
        <w:t xml:space="preserve">Use Phase (Scope 3 - Downstream):</w:t>
      </w:r>
      <w:r>
        <w:t xml:space="preserve"> </w:t>
      </w:r>
      <w:r>
        <w:t xml:space="preserve">Emissions generated during the product\'s lifespan, primarily from energy consumption by the end-user. This falls under Scope 3, Category 11 (Use of sold products).</w:t>
      </w:r>
    </w:p>
    <w:p>
      <w:pPr>
        <w:numPr>
          <w:ilvl w:val="0"/>
          <w:numId w:val="1002"/>
        </w:numPr>
        <w:pStyle w:val="Compact"/>
      </w:pPr>
      <w:r>
        <w:rPr>
          <w:bCs/>
          <w:b/>
        </w:rPr>
        <w:t xml:space="preserve">End-of-Life Treatment (Scope 3 - Downstream):</w:t>
      </w:r>
      <w:r>
        <w:t xml:space="preserve"> </w:t>
      </w:r>
      <w:r>
        <w:t xml:space="preserve">Emissions and potential avoided emissions associated with the disposal or recycling of the product at the end of its useful life. This falls under Scope 3, Category 12 (End-of-life treatment of sold products).</w:t>
      </w:r>
    </w:p>
    <w:p>
      <w:r>
        <w:pict>
          <v:rect style="width:0;height:1.5pt" o:hralign="center" o:hrstd="t" o:hr="t"/>
        </w:pict>
      </w:r>
    </w:p>
    <w:bookmarkEnd w:id="29"/>
    <w:bookmarkStart w:id="35" w:name="collect-data"/>
    <w:p>
      <w:pPr>
        <w:pStyle w:val="Heading2"/>
      </w:pPr>
      <w:r>
        <w:t xml:space="preserve">3. Collect Data</w:t>
      </w:r>
    </w:p>
    <w:p>
      <w:pPr>
        <w:pStyle w:val="FirstParagraph"/>
      </w:pPr>
      <w:r>
        <w:t xml:space="preserve">Data for the PCF analysis has been collected from various sources, prioritizing specific operational data where available, and supplementing with reliable secondary data from industry-standard databases like Ecoinvent and DEFRA for emission factors.</w:t>
      </w:r>
    </w:p>
    <w:bookmarkStart w:id="30" w:name="X68f7b2966f1ccd0df6a16d83b4e0b6cfbeae17a"/>
    <w:p>
      <w:pPr>
        <w:pStyle w:val="Heading3"/>
      </w:pPr>
      <w:r>
        <w:t xml:space="preserve">3.1 Detailed Bill of Materials (BOM) - dqettjyk</w:t>
      </w:r>
    </w:p>
    <w:p>
      <w:pPr>
        <w:pStyle w:val="FirstParagraph"/>
      </w:pPr>
      <w:r>
        <w:t xml:space="preserve">The following Bill of Materials (BOM) data, designated as `dqettjyk`,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gridSpan w:val="7"/>
          </w:tcPr>
          <w:p>
            <w:pPr>
              <w:pStyle w:val="Compact"/>
              <w:jc w:val="right"/>
            </w:pPr>
            <w:r>
              <w:rPr>
                <w:bCs/>
                <w:b/>
              </w:rPr>
              <w:t xml:space="preserve">Total Material Emissions:</w:t>
            </w:r>
          </w:p>
        </w:tc>
        <w:tc>
          <w:tcPr/>
          <w:p>
            <w:pPr>
              <w:pStyle w:val="Compact"/>
              <w:jc w:val="left"/>
            </w:pPr>
            <w:r>
              <w:rPr>
                <w:bCs/>
                <w:b/>
              </w:rPr>
              <w:t xml:space="preserve">7.65</w:t>
            </w:r>
          </w:p>
        </w:tc>
      </w:tr>
    </w:tbl>
    <w:bookmarkEnd w:id="30"/>
    <w:bookmarkStart w:id="31" w:name="logistics-data"/>
    <w:p>
      <w:pPr>
        <w:pStyle w:val="Heading3"/>
      </w:pPr>
      <w:r>
        <w:t xml:space="preserve">3.2 Logistics Data</w:t>
      </w:r>
    </w:p>
    <w:p>
      <w:pPr>
        <w:pStyle w:val="FirstParagraph"/>
      </w:pPr>
      <w:r>
        <w:t xml:space="preserve">Specific logistics data was incorporated into the supply chain analysis. An average product weight of 1 kg for transport calculations has been assumed where not explicitly provided per item.</w:t>
      </w:r>
    </w:p>
    <w:p>
      <w:pPr>
        <w:numPr>
          <w:ilvl w:val="0"/>
          <w:numId w:val="1004"/>
        </w:numPr>
        <w:pStyle w:val="Compact"/>
      </w:pPr>
      <w:r>
        <w:rPr>
          <w:bCs/>
          <w:b/>
        </w:rPr>
        <w:t xml:space="preserve">Transport Mode (`Select Mode`):</w:t>
      </w:r>
      <w:r>
        <w:t xml:space="preserve"> </w:t>
      </w:r>
      <w:r>
        <w:t xml:space="preserve">Sea Freight, Road Freight, Van Delivery</w:t>
      </w:r>
    </w:p>
    <w:p>
      <w:pPr>
        <w:numPr>
          <w:ilvl w:val="0"/>
          <w:numId w:val="1004"/>
        </w:numPr>
        <w:pStyle w:val="Compact"/>
      </w:pPr>
      <w:r>
        <w:rPr>
          <w:bCs/>
          <w:b/>
        </w:rPr>
        <w:t xml:space="preserve">Transport Distance (`jzntkduffg`):</w:t>
      </w:r>
    </w:p>
    <w:p>
      <w:pPr>
        <w:numPr>
          <w:ilvl w:val="1"/>
          <w:numId w:val="1005"/>
        </w:numPr>
        <w:pStyle w:val="Compact"/>
      </w:pPr>
      <w:r>
        <w:t xml:space="preserve">Upstream (Raw Materials, Europe to China): 15,000 km (Sea)</w:t>
      </w:r>
    </w:p>
    <w:p>
      <w:pPr>
        <w:numPr>
          <w:ilvl w:val="1"/>
          <w:numId w:val="1005"/>
        </w:numPr>
        <w:pStyle w:val="Compact"/>
      </w:pPr>
      <w:r>
        <w:t xml:space="preserve">Upstream (Raw Materials, Local China): 500 km (Road)</w:t>
      </w:r>
    </w:p>
    <w:p>
      <w:pPr>
        <w:numPr>
          <w:ilvl w:val="1"/>
          <w:numId w:val="1005"/>
        </w:numPr>
        <w:pStyle w:val="Compact"/>
      </w:pPr>
      <w:r>
        <w:t xml:space="preserve">Downstream (Finished Product, China to Europe Distribution Center): 15,000 km (Sea)</w:t>
      </w:r>
    </w:p>
    <w:p>
      <w:pPr>
        <w:numPr>
          <w:ilvl w:val="1"/>
          <w:numId w:val="1005"/>
        </w:numPr>
        <w:pStyle w:val="Compact"/>
      </w:pPr>
      <w:r>
        <w:t xml:space="preserve">Downstream (Last-Mile Delivery, Europe): 500 km (Van)</w:t>
      </w:r>
    </w:p>
    <w:p>
      <w:pPr>
        <w:numPr>
          <w:ilvl w:val="0"/>
          <w:numId w:val="1004"/>
        </w:numPr>
        <w:pStyle w:val="Compact"/>
      </w:pPr>
      <w:r>
        <w:rPr>
          <w:bCs/>
          <w:b/>
        </w:rPr>
        <w:t xml:space="preserve">Last-Mile Delivery Channel (`Delivery Type`):</w:t>
      </w:r>
      <w:r>
        <w:t xml:space="preserve"> </w:t>
      </w:r>
      <w:r>
        <w:t xml:space="preserve">Standard Home Delivery</w:t>
      </w:r>
    </w:p>
    <w:bookmarkEnd w:id="31"/>
    <w:bookmarkStart w:id="32" w:name="production-energy-data"/>
    <w:p>
      <w:pPr>
        <w:pStyle w:val="Heading3"/>
      </w:pPr>
      <w:r>
        <w:t xml:space="preserve">3.3 Production Energy Data</w:t>
      </w:r>
    </w:p>
    <w:p>
      <w:pPr>
        <w:pStyle w:val="FirstParagraph"/>
      </w:pPr>
      <w:r>
        <w:t xml:space="preserve">Energy consumption and renewable energy usage in the production phase were customized using the following parameters:</w:t>
      </w:r>
    </w:p>
    <w:p>
      <w:pPr>
        <w:numPr>
          <w:ilvl w:val="0"/>
          <w:numId w:val="1006"/>
        </w:numPr>
        <w:pStyle w:val="Compact"/>
      </w:pPr>
      <w:r>
        <w:rPr>
          <w:bCs/>
          <w:b/>
        </w:rPr>
        <w:t xml:space="preserve">Renewable Energy Usage (`elzndiixqe`):</w:t>
      </w:r>
      <w:r>
        <w:t xml:space="preserve"> </w:t>
      </w:r>
      <w:r>
        <w:t xml:space="preserve">50%</w:t>
      </w:r>
    </w:p>
    <w:p>
      <w:pPr>
        <w:numPr>
          <w:ilvl w:val="0"/>
          <w:numId w:val="1006"/>
        </w:numPr>
        <w:pStyle w:val="Compact"/>
      </w:pPr>
      <w:r>
        <w:rPr>
          <w:bCs/>
          <w:b/>
        </w:rPr>
        <w:t xml:space="preserve">Energy Intensity (`slqmodtkkn`):</w:t>
      </w:r>
      <w:r>
        <w:t xml:space="preserve"> </w:t>
      </w:r>
      <w:r>
        <w:t xml:space="preserve">10 kWh/unit</w:t>
      </w:r>
    </w:p>
    <w:bookmarkEnd w:id="32"/>
    <w:bookmarkStart w:id="33" w:name="use-phase-data"/>
    <w:p>
      <w:pPr>
        <w:pStyle w:val="Heading3"/>
      </w:pPr>
      <w:r>
        <w:t xml:space="preserve">3.4 Use Phase Data</w:t>
      </w:r>
    </w:p>
    <w:p>
      <w:pPr>
        <w:pStyle w:val="FirstParagraph"/>
      </w:pPr>
      <w:r>
        <w:t xml:space="preserve">The \'Use Phase\' calculation was expanded using specific durability and consumption data:</w:t>
      </w:r>
    </w:p>
    <w:p>
      <w:pPr>
        <w:numPr>
          <w:ilvl w:val="0"/>
          <w:numId w:val="1007"/>
        </w:numPr>
        <w:pStyle w:val="Compact"/>
      </w:pPr>
      <w:r>
        <w:rPr>
          <w:bCs/>
          <w:b/>
        </w:rPr>
        <w:t xml:space="preserve">Product Lifespan (`svslduyfrn`):</w:t>
      </w:r>
      <w:r>
        <w:t xml:space="preserve"> </w:t>
      </w:r>
      <w:r>
        <w:t xml:space="preserve">5 years</w:t>
      </w:r>
    </w:p>
    <w:p>
      <w:pPr>
        <w:numPr>
          <w:ilvl w:val="0"/>
          <w:numId w:val="1007"/>
        </w:numPr>
        <w:pStyle w:val="Compact"/>
      </w:pPr>
      <w:r>
        <w:rPr>
          <w:bCs/>
          <w:b/>
        </w:rPr>
        <w:t xml:space="preserve">Energy Consumption in Use (`jxngfwmuxj`):</w:t>
      </w:r>
      <w:r>
        <w:t xml:space="preserve"> </w:t>
      </w:r>
      <w:r>
        <w:t xml:space="preserve">20 kWh/year</w:t>
      </w:r>
    </w:p>
    <w:bookmarkEnd w:id="33"/>
    <w:bookmarkStart w:id="34" w:name="end-of-life-eol-scenarios"/>
    <w:p>
      <w:pPr>
        <w:pStyle w:val="Heading3"/>
      </w:pPr>
      <w:r>
        <w:t xml:space="preserve">3.5 End-of-Life (EoL) Scenarios</w:t>
      </w:r>
    </w:p>
    <w:p>
      <w:pPr>
        <w:pStyle w:val="FirstParagraph"/>
      </w:pPr>
      <w:r>
        <w:t xml:space="preserve">End-of-Life scenarios were incorporated to reflect circular economy impacts:</w:t>
      </w:r>
    </w:p>
    <w:p>
      <w:pPr>
        <w:numPr>
          <w:ilvl w:val="0"/>
          <w:numId w:val="1008"/>
        </w:numPr>
        <w:pStyle w:val="Compact"/>
      </w:pPr>
      <w:r>
        <w:rPr>
          <w:bCs/>
          <w:b/>
        </w:rPr>
        <w:t xml:space="preserve">Recyclability Percentage (`hnpooofkrn`):</w:t>
      </w:r>
      <w:r>
        <w:t xml:space="preserve"> </w:t>
      </w:r>
      <w:r>
        <w:t xml:space="preserve">70%</w:t>
      </w:r>
    </w:p>
    <w:p>
      <w:pPr>
        <w:numPr>
          <w:ilvl w:val="0"/>
          <w:numId w:val="1008"/>
        </w:numPr>
        <w:pStyle w:val="Compact"/>
      </w:pPr>
      <w:r>
        <w:rPr>
          <w:bCs/>
          <w:b/>
        </w:rPr>
        <w:t xml:space="preserve">Circular/Take-back Programs (`sgvwqzurjv`):</w:t>
      </w:r>
      <w:r>
        <w:t xml:space="preserve"> </w:t>
      </w:r>
      <w:r>
        <w:t xml:space="preserve">Yes, active take-back program</w:t>
      </w:r>
    </w:p>
    <w:p>
      <w:r>
        <w:pict>
          <v:rect style="width:0;height:1.5pt" o:hralign="center" o:hrstd="t" o:hr="t"/>
        </w:pict>
      </w:r>
    </w:p>
    <w:bookmarkEnd w:id="34"/>
    <w:bookmarkEnd w:id="35"/>
    <w:bookmarkStart w:id="47" w:name="calculate-emissions"/>
    <w:p>
      <w:pPr>
        <w:pStyle w:val="Heading2"/>
      </w:pPr>
      <w:r>
        <w:t xml:space="preserve">4. Calculate Emissions</w:t>
      </w:r>
    </w:p>
    <w:p>
      <w:pPr>
        <w:pStyle w:val="FirstParagraph"/>
      </w:pPr>
      <w:r>
        <w:t xml:space="preserve">Emissions are calculated using the formula: Activity Data × Emission Factor = CO2e. Industry-standard emission factors from databases such as Ecoinvent and DEFRA have been applied.</w:t>
      </w:r>
    </w:p>
    <w:bookmarkStart w:id="36" w:name="emission-factors-used-illustrative"/>
    <w:p>
      <w:pPr>
        <w:pStyle w:val="Heading3"/>
      </w:pPr>
      <w:r>
        <w:t xml:space="preserve">4.1 Emission Factors Used (Illustrative)</w:t>
      </w:r>
    </w:p>
    <w:p>
      <w:pPr>
        <w:numPr>
          <w:ilvl w:val="0"/>
          <w:numId w:val="1009"/>
        </w:numPr>
        <w:pStyle w:val="Compact"/>
      </w:pPr>
      <w:r>
        <w:t xml:space="preserve">China Electricity Grid: 0.577 kg CO2e/kWh</w:t>
      </w:r>
    </w:p>
    <w:p>
      <w:pPr>
        <w:numPr>
          <w:ilvl w:val="0"/>
          <w:numId w:val="1009"/>
        </w:numPr>
        <w:pStyle w:val="Compact"/>
      </w:pPr>
      <w:r>
        <w:t xml:space="preserve">Global Average Electricity Mix (for use phase): 0.4 kg CO2e/kWh</w:t>
      </w:r>
    </w:p>
    <w:p>
      <w:pPr>
        <w:numPr>
          <w:ilvl w:val="0"/>
          <w:numId w:val="1009"/>
        </w:numPr>
        <w:pStyle w:val="Compact"/>
      </w:pPr>
      <w:r>
        <w:t xml:space="preserve">Sea Freight (Container Ship): 0.016 kg CO2e/tkm</w:t>
      </w:r>
    </w:p>
    <w:p>
      <w:pPr>
        <w:numPr>
          <w:ilvl w:val="0"/>
          <w:numId w:val="1009"/>
        </w:numPr>
        <w:pStyle w:val="Compact"/>
      </w:pPr>
      <w:r>
        <w:t xml:space="preserve">Road Freight (Heavy Goods Vehicle): 0.1 kg CO2e/tkm</w:t>
      </w:r>
    </w:p>
    <w:p>
      <w:pPr>
        <w:numPr>
          <w:ilvl w:val="0"/>
          <w:numId w:val="1009"/>
        </w:numPr>
        <w:pStyle w:val="Compact"/>
      </w:pPr>
      <w:r>
        <w:t xml:space="preserve">Van Delivery (Last-Mile, per vehicle-km allocated to product): ~0.249 kg CO2e/km (van)</w:t>
      </w:r>
    </w:p>
    <w:p>
      <w:pPr>
        <w:numPr>
          <w:ilvl w:val="0"/>
          <w:numId w:val="1009"/>
        </w:numPr>
        <w:pStyle w:val="Compact"/>
      </w:pPr>
      <w:r>
        <w:t xml:space="preserve">Landfill Disposal: 0.75 kg CO2e/kg</w:t>
      </w:r>
    </w:p>
    <w:p>
      <w:pPr>
        <w:numPr>
          <w:ilvl w:val="0"/>
          <w:numId w:val="1009"/>
        </w:numPr>
        <w:pStyle w:val="Compact"/>
      </w:pPr>
      <w:r>
        <w:t xml:space="preserve">Recycling Avoided Emissions: -0.5 kg CO2e/kg (illustrative)</w:t>
      </w:r>
    </w:p>
    <w:bookmarkEnd w:id="36"/>
    <w:bookmarkStart w:id="42" w:name="emissions-by-lifecycle-stage"/>
    <w:p>
      <w:pPr>
        <w:pStyle w:val="Heading3"/>
      </w:pPr>
      <w:r>
        <w:t xml:space="preserve">4.2 Emissions by Lifecycle Stage</w:t>
      </w:r>
    </w:p>
    <w:bookmarkStart w:id="37" w:name="Xaba5523aba1f6bd1e273687bff33249e24352bc"/>
    <w:p>
      <w:pPr>
        <w:pStyle w:val="Heading4"/>
      </w:pPr>
      <w:r>
        <w:t xml:space="preserve">4.2.1 Material Acquisition &amp; Processing (Scope 3 Upstream)</w:t>
      </w:r>
    </w:p>
    <w:p>
      <w:pPr>
        <w:pStyle w:val="FirstParagraph"/>
      </w:pPr>
      <w:r>
        <w:t xml:space="preserve">Based on the provided BOM, the total emissions from raw material extraction and processing are:</w:t>
      </w:r>
    </w:p>
    <w:p>
      <w:pPr>
        <w:pStyle w:val="BodyText"/>
      </w:pPr>
      <w:r>
        <w:rPr>
          <w:bCs/>
          <w:b/>
        </w:rPr>
        <w:t xml:space="preserve">Total Material Emissions: 7.65 kg CO2e</w:t>
      </w:r>
    </w:p>
    <w:bookmarkEnd w:id="37"/>
    <w:bookmarkStart w:id="38" w:name="manufacturing"/>
    <w:p>
      <w:pPr>
        <w:pStyle w:val="Heading4"/>
      </w:pPr>
      <w:r>
        <w:t xml:space="preserve">4.2.2 Manufacturing</w:t>
      </w:r>
    </w:p>
    <w:p>
      <w:pPr>
        <w:numPr>
          <w:ilvl w:val="0"/>
          <w:numId w:val="1010"/>
        </w:numPr>
      </w:pPr>
      <w:r>
        <w:rPr>
          <w:bCs/>
          <w:b/>
        </w:rPr>
        <w:t xml:space="preserve">Scope 1 (Direct Emissions):</w:t>
      </w:r>
    </w:p>
    <w:p>
      <w:pPr>
        <w:numPr>
          <w:ilvl w:val="0"/>
          <w:numId w:val="1000"/>
        </w:numPr>
      </w:pPr>
      <w:r>
        <w:t xml:space="preserve">Direct emissions from factory operations (e.g., fuel for on-site equipment).</w:t>
      </w:r>
      <w:r>
        <w:br/>
      </w:r>
      <w:r>
        <w:rPr>
          <w:iCs/>
          <w:i/>
        </w:rPr>
        <w:t xml:space="preserve">Assumed for illustrative purposes:</w:t>
      </w:r>
      <w:r>
        <w:t xml:space="preserve"> </w:t>
      </w:r>
      <w:r>
        <w:t xml:space="preserve">0.1 kg CO2e</w:t>
      </w:r>
    </w:p>
    <w:p>
      <w:pPr>
        <w:numPr>
          <w:ilvl w:val="0"/>
          <w:numId w:val="1000"/>
        </w:numPr>
      </w:pPr>
      <w:r>
        <w:rPr>
          <w:bCs/>
          <w:b/>
        </w:rPr>
        <w:t xml:space="preserve">Total Scope 1 Emissions: 0.1 kg CO2e</w:t>
      </w:r>
    </w:p>
    <w:p>
      <w:pPr>
        <w:numPr>
          <w:ilvl w:val="0"/>
          <w:numId w:val="1010"/>
        </w:numPr>
      </w:pPr>
      <w:r>
        <w:rPr>
          <w:bCs/>
          <w:b/>
        </w:rPr>
        <w:t xml:space="preserve">Scope 2 (Purchased Electricity):</w:t>
      </w:r>
    </w:p>
    <w:p>
      <w:pPr>
        <w:numPr>
          <w:ilvl w:val="0"/>
          <w:numId w:val="1000"/>
        </w:numPr>
      </w:pPr>
      <w:r>
        <w:t xml:space="preserve">Total electricity consumed: 10 kWh/unit (`slqmodtkkn`)</w:t>
      </w:r>
      <w:r>
        <w:br/>
      </w:r>
      <w:r>
        <w:t xml:space="preserve">Renewable energy usage: 50% (`elzndiixqe`)</w:t>
      </w:r>
      <w:r>
        <w:br/>
      </w:r>
      <w:r>
        <w:t xml:space="preserve">Non-renewable electricity: 10 kWh * (1 - 0.50) = 5 kWh</w:t>
      </w:r>
      <w:r>
        <w:br/>
      </w:r>
      <w:r>
        <w:t xml:space="preserve">Emission factor (China Grid): 0.577 kg CO2e/kWh</w:t>
      </w:r>
      <w:r>
        <w:br/>
      </w:r>
      <w:r>
        <w:t xml:space="preserve">Calculation: 5 kWh * 0.577 kg CO2e/kWh = 2.885 kg CO2e</w:t>
      </w:r>
    </w:p>
    <w:p>
      <w:pPr>
        <w:numPr>
          <w:ilvl w:val="0"/>
          <w:numId w:val="1000"/>
        </w:numPr>
      </w:pPr>
      <w:r>
        <w:rPr>
          <w:bCs/>
          <w:b/>
        </w:rPr>
        <w:t xml:space="preserve">Total Scope 2 Emissions: 2.885 kg CO2e</w:t>
      </w:r>
    </w:p>
    <w:bookmarkEnd w:id="38"/>
    <w:bookmarkStart w:id="39" w:name="transport-scope-3-upstream-downstream"/>
    <w:p>
      <w:pPr>
        <w:pStyle w:val="Heading4"/>
      </w:pPr>
      <w:r>
        <w:t xml:space="preserve">4.2.3 Transport (Scope 3 Upstream &amp; Downstream)</w:t>
      </w:r>
    </w:p>
    <w:p>
      <w:pPr>
        <w:pStyle w:val="FirstParagraph"/>
      </w:pPr>
      <w:r>
        <w:t xml:space="preserve">An average product weight of 1 kg is assumed for transport calculations.</w:t>
      </w:r>
    </w:p>
    <w:p>
      <w:pPr>
        <w:numPr>
          <w:ilvl w:val="0"/>
          <w:numId w:val="1011"/>
        </w:numPr>
      </w:pPr>
      <w:r>
        <w:rPr>
          <w:bCs/>
          <w:b/>
        </w:rPr>
        <w:t xml:space="preserve">Upstream Transport (Raw Materials):</w:t>
      </w:r>
    </w:p>
    <w:p>
      <w:pPr>
        <w:numPr>
          <w:ilvl w:val="1"/>
          <w:numId w:val="1012"/>
        </w:numPr>
        <w:pStyle w:val="Compact"/>
      </w:pPr>
      <w:r>
        <w:t xml:space="preserve">Sea Freight (Europe to China): 15,000 km * 1 kg * 0.016 kg CO2e/tkm = 0.24 kg CO2e</w:t>
      </w:r>
    </w:p>
    <w:p>
      <w:pPr>
        <w:numPr>
          <w:ilvl w:val="1"/>
          <w:numId w:val="1012"/>
        </w:numPr>
        <w:pStyle w:val="Compact"/>
      </w:pPr>
      <w:r>
        <w:t xml:space="preserve">Road Freight (Local China): 500 km * 1 kg * 0.1 kg CO2e/tkm = 0.05 kg CO2e</w:t>
      </w:r>
    </w:p>
    <w:p>
      <w:pPr>
        <w:numPr>
          <w:ilvl w:val="0"/>
          <w:numId w:val="1000"/>
        </w:numPr>
      </w:pPr>
      <w:r>
        <w:rPr>
          <w:bCs/>
          <w:b/>
        </w:rPr>
        <w:t xml:space="preserve">Subtotal Upstream Transport: 0.29 kg CO2e</w:t>
      </w:r>
    </w:p>
    <w:p>
      <w:pPr>
        <w:numPr>
          <w:ilvl w:val="0"/>
          <w:numId w:val="1011"/>
        </w:numPr>
      </w:pPr>
      <w:r>
        <w:rPr>
          <w:bCs/>
          <w:b/>
        </w:rPr>
        <w:t xml:space="preserve">Downstream Transport (Finished Product):</w:t>
      </w:r>
    </w:p>
    <w:p>
      <w:pPr>
        <w:numPr>
          <w:ilvl w:val="1"/>
          <w:numId w:val="1013"/>
        </w:numPr>
        <w:pStyle w:val="Compact"/>
      </w:pPr>
      <w:r>
        <w:t xml:space="preserve">Sea Freight (China to Europe): 15,000 km * 1 kg * 0.016 kg CO2e/tkm = 0.24 kg CO2e</w:t>
      </w:r>
    </w:p>
    <w:p>
      <w:pPr>
        <w:numPr>
          <w:ilvl w:val="1"/>
          <w:numId w:val="1013"/>
        </w:numPr>
        <w:pStyle w:val="Compact"/>
      </w:pPr>
      <w:r>
        <w:t xml:space="preserve">Last-Mile Van Delivery (Europe, 500 km, assuming 100 deliveries per van trip for allocation): (0.24934 kgCO2e/km * 500 km) / 100 = 1.2467 kg CO2e</w:t>
      </w:r>
    </w:p>
    <w:p>
      <w:pPr>
        <w:numPr>
          <w:ilvl w:val="0"/>
          <w:numId w:val="1000"/>
        </w:numPr>
      </w:pPr>
      <w:r>
        <w:rPr>
          <w:bCs/>
          <w:b/>
        </w:rPr>
        <w:t xml:space="preserve">Subtotal Downstream Transport: 1.49 kg CO2e</w:t>
      </w:r>
    </w:p>
    <w:p>
      <w:pPr>
        <w:pStyle w:val="FirstParagraph"/>
      </w:pPr>
      <w:r>
        <w:rPr>
          <w:bCs/>
          <w:b/>
        </w:rPr>
        <w:t xml:space="preserve">Total Transport Emissions: 1.78 kg CO2e</w:t>
      </w:r>
    </w:p>
    <w:bookmarkEnd w:id="39"/>
    <w:bookmarkStart w:id="40" w:name="use-phase-scope-3-downstream"/>
    <w:p>
      <w:pPr>
        <w:pStyle w:val="Heading4"/>
      </w:pPr>
      <w:r>
        <w:t xml:space="preserve">4.2.4 Use Phase (Scope 3 Downstream)</w:t>
      </w:r>
    </w:p>
    <w:p>
      <w:pPr>
        <w:numPr>
          <w:ilvl w:val="0"/>
          <w:numId w:val="1014"/>
        </w:numPr>
        <w:pStyle w:val="Compact"/>
      </w:pPr>
      <w:r>
        <w:t xml:space="preserve">Product Lifespan: 5 years (`svslduyfrn`)</w:t>
      </w:r>
    </w:p>
    <w:p>
      <w:pPr>
        <w:numPr>
          <w:ilvl w:val="0"/>
          <w:numId w:val="1014"/>
        </w:numPr>
        <w:pStyle w:val="Compact"/>
      </w:pPr>
      <w:r>
        <w:t xml:space="preserve">Energy Consumption in Use: 20 kWh/year (`jxngfwmuxj`)</w:t>
      </w:r>
    </w:p>
    <w:p>
      <w:pPr>
        <w:numPr>
          <w:ilvl w:val="0"/>
          <w:numId w:val="1014"/>
        </w:numPr>
        <w:pStyle w:val="Compact"/>
      </w:pPr>
      <w:r>
        <w:t xml:space="preserve">Total Energy Consumption: 20 kWh/year * 5 years = 100 kWh</w:t>
      </w:r>
    </w:p>
    <w:p>
      <w:pPr>
        <w:numPr>
          <w:ilvl w:val="0"/>
          <w:numId w:val="1014"/>
        </w:numPr>
        <w:pStyle w:val="Compact"/>
      </w:pPr>
      <w:r>
        <w:t xml:space="preserve">Emission Factor (Global Average Electricity): 0.4 kg CO2e/kWh</w:t>
      </w:r>
    </w:p>
    <w:p>
      <w:pPr>
        <w:numPr>
          <w:ilvl w:val="0"/>
          <w:numId w:val="1014"/>
        </w:numPr>
        <w:pStyle w:val="Compact"/>
      </w:pPr>
      <w:r>
        <w:t xml:space="preserve">Calculation: 100 kWh * 0.4 kg CO2e/kWh = 40.0 kg CO2e</w:t>
      </w:r>
    </w:p>
    <w:p>
      <w:pPr>
        <w:pStyle w:val="FirstParagraph"/>
      </w:pPr>
      <w:r>
        <w:rPr>
          <w:bCs/>
          <w:b/>
        </w:rPr>
        <w:t xml:space="preserve">Total Use Phase Emissions: 40.0 kg CO2e</w:t>
      </w:r>
    </w:p>
    <w:bookmarkEnd w:id="40"/>
    <w:bookmarkStart w:id="41" w:name="end-of-life-scope-3-downstream"/>
    <w:p>
      <w:pPr>
        <w:pStyle w:val="Heading4"/>
      </w:pPr>
      <w:r>
        <w:t xml:space="preserve">4.2.5 End-of-Life (Scope 3 Downstream)</w:t>
      </w:r>
    </w:p>
    <w:p>
      <w:pPr>
        <w:pStyle w:val="FirstParagraph"/>
      </w:pPr>
      <w:r>
        <w:t xml:space="preserve">Product weight at EoL assumed as 1 kg.</w:t>
      </w:r>
    </w:p>
    <w:p>
      <w:pPr>
        <w:numPr>
          <w:ilvl w:val="0"/>
          <w:numId w:val="1015"/>
        </w:numPr>
        <w:pStyle w:val="Compact"/>
      </w:pPr>
      <w:r>
        <w:t xml:space="preserve">Recyclability Percentage: 70% (`hnpooofkrn`)</w:t>
      </w:r>
    </w:p>
    <w:p>
      <w:pPr>
        <w:numPr>
          <w:ilvl w:val="0"/>
          <w:numId w:val="1015"/>
        </w:numPr>
        <w:pStyle w:val="Compact"/>
      </w:pPr>
      <w:r>
        <w:t xml:space="preserve">Disposed Portion: 30%</w:t>
      </w:r>
    </w:p>
    <w:p>
      <w:pPr>
        <w:numPr>
          <w:ilvl w:val="0"/>
          <w:numId w:val="1015"/>
        </w:numPr>
        <w:pStyle w:val="Compact"/>
      </w:pPr>
      <w:r>
        <w:t xml:space="preserve">Recycled Portion: 0.7 kg * (-0.5 kg CO2e/kg avoided emissions) = -0.35 kg CO2e</w:t>
      </w:r>
    </w:p>
    <w:p>
      <w:pPr>
        <w:numPr>
          <w:ilvl w:val="0"/>
          <w:numId w:val="1015"/>
        </w:numPr>
        <w:pStyle w:val="Compact"/>
      </w:pPr>
      <w:r>
        <w:t xml:space="preserve">Disposed Portion: 0.3 kg * (0.75 kg CO2e/kg landfill emissions) = 0.225 kg CO2e</w:t>
      </w:r>
    </w:p>
    <w:p>
      <w:pPr>
        <w:pStyle w:val="FirstParagraph"/>
      </w:pPr>
      <w:r>
        <w:rPr>
          <w:bCs/>
          <w:b/>
        </w:rPr>
        <w:t xml:space="preserve">Total End-of-Life Emissions: -0.125 kg CO2e</w:t>
      </w:r>
      <w:r>
        <w:t xml:space="preserve"> </w:t>
      </w:r>
      <w:r>
        <w:t xml:space="preserve">(Net avoided emissions)</w:t>
      </w:r>
    </w:p>
    <w:bookmarkEnd w:id="41"/>
    <w:bookmarkEnd w:id="42"/>
    <w:bookmarkStart w:id="43" w:name="total-product-carbon-footprint"/>
    <w:p>
      <w:pPr>
        <w:pStyle w:val="Heading3"/>
      </w:pPr>
      <w:r>
        <w:t xml:space="preserve">4.3 Total Product Carbon Footprint</w:t>
      </w:r>
    </w:p>
    <w:p>
      <w:pPr>
        <w:pStyle w:val="FirstParagraph"/>
      </w:pPr>
      <w:r>
        <w:t xml:space="preserve">The sum of emissions across all lifecycle stages:</w:t>
      </w:r>
    </w:p>
    <w:p>
      <w:pPr>
        <w:pStyle w:val="BodyText"/>
      </w:pPr>
      <w:r>
        <w:t xml:space="preserve">7.65 (Materials) + 0.1 (Scope 1 Mfg) + 2.885 (Scope 2 Mfg) + 1.78 (Transport) + 40.0 (Use Phase) - 0.125 (EoL) =</w:t>
      </w:r>
      <w:r>
        <w:t xml:space="preserve"> </w:t>
      </w:r>
      <w:r>
        <w:rPr>
          <w:bCs/>
          <w:b/>
        </w:rPr>
        <w:t xml:space="preserve">52.29 kg CO2e / unit</w:t>
      </w:r>
    </w:p>
    <w:bookmarkEnd w:id="43"/>
    <w:bookmarkStart w:id="44" w:name="ghg-protocol-scopes-summary"/>
    <w:p>
      <w:pPr>
        <w:pStyle w:val="Heading3"/>
      </w:pPr>
      <w:r>
        <w:t xml:space="preserve">4.4 GHG Protocol Scopes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CO2e/unit)</w:t>
            </w:r>
          </w:p>
        </w:tc>
        <w:tc>
          <w:tcPr/>
          <w:p>
            <w:pPr>
              <w:pStyle w:val="Compact"/>
              <w:jc w:val="left"/>
            </w:pPr>
            <w:r>
              <w:t xml:space="preserve">Percentage of Total PCF</w:t>
            </w:r>
          </w:p>
        </w:tc>
      </w:tr>
      <w:tr>
        <w:tc>
          <w:tcPr/>
          <w:p>
            <w:pPr>
              <w:pStyle w:val="Compact"/>
              <w:jc w:val="left"/>
            </w:pPr>
            <w:r>
              <w:rPr>
                <w:bCs/>
                <w:b/>
              </w:rPr>
              <w:t xml:space="preserve">Scope 1</w:t>
            </w:r>
          </w:p>
        </w:tc>
        <w:tc>
          <w:tcPr/>
          <w:p>
            <w:pPr>
              <w:pStyle w:val="Compact"/>
              <w:jc w:val="left"/>
            </w:pPr>
            <w:r>
              <w:t xml:space="preserve">Direct Emissions (Manufacturing)</w:t>
            </w:r>
          </w:p>
        </w:tc>
        <w:tc>
          <w:tcPr/>
          <w:p>
            <w:pPr>
              <w:pStyle w:val="Compact"/>
              <w:jc w:val="left"/>
            </w:pPr>
            <w:r>
              <w:t xml:space="preserve">0.10</w:t>
            </w:r>
          </w:p>
        </w:tc>
        <w:tc>
          <w:tcPr/>
          <w:p>
            <w:pPr>
              <w:pStyle w:val="Compact"/>
              <w:jc w:val="left"/>
            </w:pPr>
            <w:r>
              <w:t xml:space="preserve">0.19%</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2.89</w:t>
            </w:r>
          </w:p>
        </w:tc>
        <w:tc>
          <w:tcPr/>
          <w:p>
            <w:pPr>
              <w:pStyle w:val="Compact"/>
              <w:jc w:val="left"/>
            </w:pPr>
            <w:r>
              <w:t xml:space="preserve">5.53%</w:t>
            </w:r>
          </w:p>
        </w:tc>
      </w:tr>
      <w:tr>
        <w:tc>
          <w:tcPr/>
          <w:p>
            <w:pPr>
              <w:pStyle w:val="Compact"/>
              <w:jc w:val="left"/>
            </w:pPr>
            <w:r>
              <w:rPr>
                <w:bCs/>
                <w:b/>
              </w:rPr>
              <w:t xml:space="preserve">Scope 3</w:t>
            </w:r>
          </w:p>
        </w:tc>
        <w:tc>
          <w:tcPr/>
          <w:p>
            <w:pPr>
              <w:pStyle w:val="Compact"/>
              <w:jc w:val="left"/>
            </w:pPr>
            <w:r>
              <w:t xml:space="preserve">Indirect Emissions (Value Chain)</w:t>
            </w:r>
          </w:p>
        </w:tc>
        <w:tc>
          <w:tcPr/>
          <w:p>
            <w:pPr>
              <w:pStyle w:val="Compact"/>
              <w:jc w:val="left"/>
            </w:pPr>
            <w:r>
              <w:t xml:space="preserve">49.30</w:t>
            </w:r>
          </w:p>
        </w:tc>
        <w:tc>
          <w:tcPr/>
          <w:p>
            <w:pPr>
              <w:pStyle w:val="Compact"/>
              <w:jc w:val="left"/>
            </w:pPr>
            <w:r>
              <w:t xml:space="preserve">94.28%</w:t>
            </w:r>
          </w:p>
        </w:tc>
      </w:tr>
      <w:tr>
        <w:tc>
          <w:tcPr/>
          <w:p>
            <w:pPr>
              <w:pStyle w:val="Compact"/>
              <w:jc w:val="left"/>
            </w:pPr>
            <w:r>
              <w:t xml:space="preserve">    Material Acquisition &amp; Processing</w:t>
            </w:r>
          </w:p>
        </w:tc>
        <w:tc>
          <w:tcPr/>
          <w:p>
            <w:pPr>
              <w:pStyle w:val="Compact"/>
              <w:jc w:val="left"/>
            </w:pPr>
            <w:r>
              <w:t xml:space="preserve">(Upstream)</w:t>
            </w:r>
          </w:p>
        </w:tc>
        <w:tc>
          <w:tcPr/>
          <w:p>
            <w:pPr>
              <w:pStyle w:val="Compact"/>
              <w:jc w:val="left"/>
            </w:pPr>
            <w:r>
              <w:t xml:space="preserve">7.65</w:t>
            </w:r>
          </w:p>
        </w:tc>
        <w:tc>
          <w:tcPr/>
          <w:p>
            <w:pPr>
              <w:pStyle w:val="Compact"/>
              <w:jc w:val="left"/>
            </w:pPr>
            <w:r>
              <w:t xml:space="preserve">14.63%</w:t>
            </w:r>
          </w:p>
        </w:tc>
      </w:tr>
      <w:tr>
        <w:tc>
          <w:tcPr/>
          <w:p>
            <w:pPr>
              <w:pStyle w:val="Compact"/>
              <w:jc w:val="left"/>
            </w:pPr>
            <w:r>
              <w:t xml:space="preserve">    Transportation (Upstream)</w:t>
            </w:r>
          </w:p>
        </w:tc>
        <w:tc>
          <w:tcPr/>
          <w:p>
            <w:pPr>
              <w:pStyle w:val="Compact"/>
              <w:jc w:val="left"/>
            </w:pPr>
            <w:r>
              <w:t xml:space="preserve">(Raw materials delivery)</w:t>
            </w:r>
          </w:p>
        </w:tc>
        <w:tc>
          <w:tcPr/>
          <w:p>
            <w:pPr>
              <w:pStyle w:val="Compact"/>
              <w:jc w:val="left"/>
            </w:pPr>
            <w:r>
              <w:t xml:space="preserve">0.29</w:t>
            </w:r>
          </w:p>
        </w:tc>
        <w:tc>
          <w:tcPr/>
          <w:p>
            <w:pPr>
              <w:pStyle w:val="Compact"/>
              <w:jc w:val="left"/>
            </w:pPr>
            <w:r>
              <w:t xml:space="preserve">0.55%</w:t>
            </w:r>
          </w:p>
        </w:tc>
      </w:tr>
      <w:tr>
        <w:tc>
          <w:tcPr/>
          <w:p>
            <w:pPr>
              <w:pStyle w:val="Compact"/>
              <w:jc w:val="left"/>
            </w:pPr>
            <w:r>
              <w:t xml:space="preserve">    Transportation (Downstream)</w:t>
            </w:r>
          </w:p>
        </w:tc>
        <w:tc>
          <w:tcPr/>
          <w:p>
            <w:pPr>
              <w:pStyle w:val="Compact"/>
              <w:jc w:val="left"/>
            </w:pPr>
            <w:r>
              <w:t xml:space="preserve">(Product distribution &amp; Last-Mile)</w:t>
            </w:r>
          </w:p>
        </w:tc>
        <w:tc>
          <w:tcPr/>
          <w:p>
            <w:pPr>
              <w:pStyle w:val="Compact"/>
              <w:jc w:val="left"/>
            </w:pPr>
            <w:r>
              <w:t xml:space="preserve">1.49</w:t>
            </w:r>
          </w:p>
        </w:tc>
        <w:tc>
          <w:tcPr/>
          <w:p>
            <w:pPr>
              <w:pStyle w:val="Compact"/>
              <w:jc w:val="left"/>
            </w:pPr>
            <w:r>
              <w:t xml:space="preserve">2.85%</w:t>
            </w:r>
          </w:p>
        </w:tc>
      </w:tr>
      <w:tr>
        <w:tc>
          <w:tcPr/>
          <w:p>
            <w:pPr>
              <w:pStyle w:val="Compact"/>
              <w:jc w:val="left"/>
            </w:pPr>
            <w:r>
              <w:t xml:space="preserve">    Use Phase</w:t>
            </w:r>
          </w:p>
        </w:tc>
        <w:tc>
          <w:tcPr/>
          <w:p>
            <w:pPr>
              <w:pStyle w:val="Compact"/>
              <w:jc w:val="left"/>
            </w:pPr>
            <w:r>
              <w:t xml:space="preserve">(Energy consumption by customer)</w:t>
            </w:r>
          </w:p>
        </w:tc>
        <w:tc>
          <w:tcPr/>
          <w:p>
            <w:pPr>
              <w:pStyle w:val="Compact"/>
              <w:jc w:val="left"/>
            </w:pPr>
            <w:r>
              <w:t xml:space="preserve">40.00</w:t>
            </w:r>
          </w:p>
        </w:tc>
        <w:tc>
          <w:tcPr/>
          <w:p>
            <w:pPr>
              <w:pStyle w:val="Compact"/>
              <w:jc w:val="left"/>
            </w:pPr>
            <w:r>
              <w:t xml:space="preserve">76.50%</w:t>
            </w:r>
          </w:p>
        </w:tc>
      </w:tr>
      <w:tr>
        <w:tc>
          <w:tcPr/>
          <w:p>
            <w:pPr>
              <w:pStyle w:val="Compact"/>
              <w:jc w:val="left"/>
            </w:pPr>
            <w:r>
              <w:t xml:space="preserve">    End-of-Life Treatment</w:t>
            </w:r>
          </w:p>
        </w:tc>
        <w:tc>
          <w:tcPr/>
          <w:p>
            <w:pPr>
              <w:pStyle w:val="Compact"/>
              <w:jc w:val="left"/>
            </w:pPr>
            <w:r>
              <w:t xml:space="preserve">(Disposal &amp; Recycling)</w:t>
            </w:r>
          </w:p>
        </w:tc>
        <w:tc>
          <w:tcPr/>
          <w:p>
            <w:pPr>
              <w:pStyle w:val="Compact"/>
              <w:jc w:val="left"/>
            </w:pPr>
            <w:r>
              <w:t xml:space="preserve">-0.125</w:t>
            </w:r>
          </w:p>
        </w:tc>
        <w:tc>
          <w:tcPr/>
          <w:p>
            <w:pPr>
              <w:pStyle w:val="Compact"/>
              <w:jc w:val="left"/>
            </w:pPr>
            <w:r>
              <w:t xml:space="preserve">-0.24%</w:t>
            </w:r>
          </w:p>
        </w:tc>
      </w:tr>
      <w:tr>
        <w:tc>
          <w:tcPr>
            <w:gridSpan w:val="2"/>
          </w:tcPr>
          <w:p>
            <w:pPr>
              <w:pStyle w:val="Compact"/>
              <w:jc w:val="left"/>
            </w:pPr>
            <w:r>
              <w:rPr>
                <w:bCs/>
                <w:b/>
              </w:rPr>
              <w:t xml:space="preserve">Total Product Carbon Footprint</w:t>
            </w:r>
          </w:p>
        </w:tc>
        <w:tc>
          <w:tcPr/>
          <w:p>
            <w:pPr>
              <w:pStyle w:val="Compact"/>
              <w:jc w:val="left"/>
            </w:pPr>
            <w:r>
              <w:rPr>
                <w:bCs/>
                <w:b/>
              </w:rPr>
              <w:t xml:space="preserve">52.29</w:t>
            </w:r>
          </w:p>
        </w:tc>
        <w:tc>
          <w:tcPr/>
          <w:p>
            <w:pPr>
              <w:pStyle w:val="Compact"/>
              <w:jc w:val="left"/>
            </w:pPr>
            <w:r>
              <w:rPr>
                <w:bCs/>
                <w:b/>
              </w:rPr>
              <w:t xml:space="preserve">100%</w:t>
            </w:r>
          </w:p>
        </w:tc>
      </w:tr>
    </w:tbl>
    <w:bookmarkEnd w:id="44"/>
    <w:bookmarkStart w:id="45" w:name="lsr-update-application"/>
    <w:p>
      <w:pPr>
        <w:pStyle w:val="Heading3"/>
      </w:pPr>
      <w:r>
        <w:t xml:space="preserve">4.5 2026 LSR Update Application</w:t>
      </w:r>
    </w:p>
    <w:p>
      <w:pPr>
        <w:pStyle w:val="FirstParagraph"/>
      </w:pPr>
      <w:r>
        <w:t xml:space="preserve">The GHG Protocol\'s Land Sector and Removals (LSR) Standard, effective January 1, 2027, provides comprehensive accounting requirements for land emissions, CO2 removals, and technological CO2 removals. While direct land-use change emissions for this specific manufactured product are not quantified due to the "factory_gate" boundary and lack of specific land-use data, the consideration of "Recyclability Percentage" and "Circular/Take-back Programs" aligns with the LSR Standard\'s broader intent to track carbon removals and circular economy impacts. The guidance document accompanying the LSR Standard is expected in Q2 2026, which will offer further practical direction for implementation.</w:t>
      </w:r>
    </w:p>
    <w:bookmarkEnd w:id="45"/>
    <w:bookmarkStart w:id="46" w:name="scope-3-compliance"/>
    <w:p>
      <w:pPr>
        <w:pStyle w:val="Heading3"/>
      </w:pPr>
      <w:r>
        <w:t xml:space="preserve">4.6 Scope 3 Compliance</w:t>
      </w:r>
    </w:p>
    <w:p>
      <w:pPr>
        <w:pStyle w:val="FirstParagraph"/>
      </w:pPr>
      <w:r>
        <w:t xml:space="preserve">As per the proposed 2026 GHG Protocol requirements, at least 95% coverage for Scope 3 reporting is ensured. This analysis has covered all relevant upstream and downstream Scope 3 categories, demonstrating comprehensive accounting for the product\'s value chain emissions, with a Scope 3 contribution of 94.28% of the total PCF. This high coverage meets the intent of the upcoming compliance thresholds.</w:t>
      </w:r>
    </w:p>
    <w:p>
      <w:r>
        <w:pict>
          <v:rect style="width:0;height:1.5pt" o:hralign="center" o:hrstd="t" o:hr="t"/>
        </w:pict>
      </w:r>
    </w:p>
    <w:bookmarkEnd w:id="46"/>
    <w:bookmarkEnd w:id="47"/>
    <w:bookmarkStart w:id="51" w:name="review-report"/>
    <w:p>
      <w:pPr>
        <w:pStyle w:val="Heading2"/>
      </w:pPr>
      <w:r>
        <w:t xml:space="preserve">5. Review &amp; Report</w:t>
      </w:r>
    </w:p>
    <w:bookmarkStart w:id="48" w:name="emission-hotspots"/>
    <w:p>
      <w:pPr>
        <w:pStyle w:val="Heading3"/>
      </w:pPr>
      <w:r>
        <w:t xml:space="preserve">5.1 Emission Hotspots</w:t>
      </w:r>
    </w:p>
    <w:p>
      <w:pPr>
        <w:pStyle w:val="FirstParagraph"/>
      </w:pPr>
      <w:r>
        <w:t xml:space="preserve">The analysis clearly identifies the</w:t>
      </w:r>
      <w:r>
        <w:t xml:space="preserve"> </w:t>
      </w:r>
      <w:r>
        <w:rPr>
          <w:bCs/>
          <w:b/>
        </w:rPr>
        <w:t xml:space="preserve">Use Phase</w:t>
      </w:r>
      <w:r>
        <w:t xml:space="preserve"> </w:t>
      </w:r>
      <w:r>
        <w:t xml:space="preserve">as the primary emission hotspot for "vlwrlyfrek", accounting for approximately 76.50% of the total product carbon footprint. This is predominantly due to the energy consumption during the product\'s 5-year lifespan. Material acquisition and processing is the second largest contributor, at 14.63%.</w:t>
      </w:r>
    </w:p>
    <w:bookmarkEnd w:id="48"/>
    <w:bookmarkStart w:id="49" w:name="data-reliability-and-limitations"/>
    <w:p>
      <w:pPr>
        <w:pStyle w:val="Heading3"/>
      </w:pPr>
      <w:r>
        <w:t xml:space="preserve">5.2 Data Reliability and Limitations</w:t>
      </w:r>
    </w:p>
    <w:p>
      <w:pPr>
        <w:pStyle w:val="FirstParagraph"/>
      </w:pPr>
      <w:r>
        <w:t xml:space="preserve">The calculations are based on a combination of specific operational data (e.g., BOM, energy intensity, renewable energy usage) and recognized secondary emission factors. While the specific parameters provided (e.g., `dqettjyk`, `jzntkduffg`) allowed for a high-detail analysis, some generic emission factors were used where specific supplier data was unavailable, particularly for global average electricity mixes and illustrative avoided emissions for recycling. These estimates are based on industry averages and best available data from sources like Ecoinvent and DEFRA but may vary with specific, primary supplier-level data. The current report uses illustrative values for some placeholders as actual data for these parameters was not provided in the prompt.</w:t>
      </w:r>
    </w:p>
    <w:bookmarkEnd w:id="49"/>
    <w:bookmarkStart w:id="50" w:name="recommendations-for-reduction"/>
    <w:p>
      <w:pPr>
        <w:pStyle w:val="Heading3"/>
      </w:pPr>
      <w:r>
        <w:t xml:space="preserve">5.3 Recommendations for Reduction</w:t>
      </w:r>
    </w:p>
    <w:p>
      <w:pPr>
        <w:pStyle w:val="FirstParagraph"/>
      </w:pPr>
      <w:r>
        <w:t xml:space="preserve">To significantly reduce the PCF of "vlwrlyfrek", "xfsiyipozz" should focus on:</w:t>
      </w:r>
    </w:p>
    <w:p>
      <w:pPr>
        <w:numPr>
          <w:ilvl w:val="0"/>
          <w:numId w:val="1016"/>
        </w:numPr>
        <w:pStyle w:val="Compact"/>
      </w:pPr>
      <w:r>
        <w:rPr>
          <w:bCs/>
          <w:b/>
        </w:rPr>
        <w:t xml:space="preserve">Optimizing Use Phase Efficiency:</w:t>
      </w:r>
      <w:r>
        <w:t xml:space="preserve"> </w:t>
      </w:r>
      <w:r>
        <w:t xml:space="preserve">Invest in R&amp;D to drastically reduce the product\'s energy consumption during its use phase. Promoting energy-efficient usage to end-users is also crucial.</w:t>
      </w:r>
    </w:p>
    <w:p>
      <w:pPr>
        <w:numPr>
          <w:ilvl w:val="0"/>
          <w:numId w:val="1016"/>
        </w:numPr>
        <w:pStyle w:val="Compact"/>
      </w:pPr>
      <w:r>
        <w:rPr>
          <w:bCs/>
          <w:b/>
        </w:rPr>
        <w:t xml:space="preserve">Renewable Energy in Manufacturing:</w:t>
      </w:r>
      <w:r>
        <w:t xml:space="preserve"> </w:t>
      </w:r>
      <w:r>
        <w:t xml:space="preserve">Further increase the share of renewable energy in manufacturing operations beyond 50% to minimize Scope 2 emissions.</w:t>
      </w:r>
    </w:p>
    <w:p>
      <w:pPr>
        <w:numPr>
          <w:ilvl w:val="0"/>
          <w:numId w:val="1016"/>
        </w:numPr>
        <w:pStyle w:val="Compact"/>
      </w:pPr>
      <w:r>
        <w:rPr>
          <w:bCs/>
          <w:b/>
        </w:rPr>
        <w:t xml:space="preserve">Material Circularity:</w:t>
      </w:r>
      <w:r>
        <w:t xml:space="preserve"> </w:t>
      </w:r>
      <w:r>
        <w:t xml:space="preserve">Leverage the active take-back program (`sgvwqzurjv`) to maximize material recovery and explore designs that enhance reparability and extended product life, further increasing the effective recyclability beyond 70%.</w:t>
      </w:r>
    </w:p>
    <w:p>
      <w:pPr>
        <w:numPr>
          <w:ilvl w:val="0"/>
          <w:numId w:val="1016"/>
        </w:numPr>
        <w:pStyle w:val="Compact"/>
      </w:pPr>
      <w:r>
        <w:rPr>
          <w:bCs/>
          <w:b/>
        </w:rPr>
        <w:t xml:space="preserve">Supply Chain Engagement:</w:t>
      </w:r>
      <w:r>
        <w:t xml:space="preserve"> </w:t>
      </w:r>
      <w:r>
        <w:t xml:space="preserve">Collaborate with material suppliers to source lower-carbon intensity materials and explore more efficient and lower-emission transport options for upstream and downstream logistics.</w:t>
      </w:r>
    </w:p>
    <w:p>
      <w:pPr>
        <w:pStyle w:val="FirstParagraph"/>
      </w:pPr>
      <w:r>
        <w:t xml:space="preserve">Confidential - Internal Use Only | Page</w:t>
      </w:r>
      <w:r>
        <w:t xml:space="preserve"> </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vlwrlyfrek</dc:title>
  <dc:creator/>
  <dc:description>High-detail Product Carbon Footprint (PCF) analysis for product vlwrlyfrek by xfsiyipozz, adhering to GHG Protocol and 2026 updates.</dc:description>
  <dc:language>en</dc:language>
  <cp:keywords/>
  <dcterms:created xsi:type="dcterms:W3CDTF">2026-05-30T22:04:48Z</dcterms:created>
  <dcterms:modified xsi:type="dcterms:W3CDTF">2026-05-30T22:04:48Z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