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vlveotvjsr</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For Product:</w:t>
      </w:r>
      <w:r>
        <w:t xml:space="preserve"> </w:t>
      </w:r>
      <w:r>
        <w:t xml:space="preserve">vlveotvjsr</w:t>
      </w:r>
    </w:p>
    <w:p>
      <w:pPr>
        <w:pStyle w:val="BodyText"/>
      </w:pPr>
      <w:r>
        <w:rPr>
          <w:bCs/>
          <w:b/>
        </w:rPr>
        <w:t xml:space="preserve">Company:</w:t>
      </w:r>
      <w:r>
        <w:t xml:space="preserve"> </w:t>
      </w:r>
      <w:r>
        <w:t xml:space="preserve">jpgddhjjvk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ilmkqkwkro</w:t>
      </w:r>
    </w:p>
    <w:p>
      <w:pPr>
        <w:pStyle w:val="BodyText"/>
      </w:pPr>
      <w:r>
        <w:t xml:space="preserve">Disclaimer: This report is generated based on available data and industry standards. While efforts have been made to ensure accuracy, the actual carbon footprint may vary based on real-time operational data, supply chain specifics, and evolving methodologies. This analysis serves as a comprehensive estimate for strategic sustainability management.</w:t>
      </w:r>
    </w:p>
    <w:bookmarkEnd w:id="20"/>
    <w:p>
      <w:pPr>
        <w:pStyle w:val="BodyText"/>
      </w:pPr>
      <w:r>
        <w:t xml:space="preserve">Generated Date: June 2, 2026</w:t>
      </w:r>
    </w:p>
    <w:bookmarkStart w:id="45" w:name="X8628edf78f0fbd30c38fa37c9e5e35fb997cd96"/>
    <w:p>
      <w:pPr>
        <w:pStyle w:val="Heading1"/>
      </w:pPr>
      <w:r>
        <w:t xml:space="preserve">Product Carbon Footprint Analysis for vlveotvjsr</w:t>
      </w:r>
    </w:p>
    <w:p>
      <w:pPr>
        <w:pStyle w:val="FirstParagraph"/>
      </w:pPr>
      <w:r>
        <w:t xml:space="preserve">As ilmkqkwkro, Senior Sustainability Consultant specializing in GHG Protocol, this report presents a high-detail Product Carbon Footprint (PCF) analysis for the product vlveotvjsr manufactured by jpgddhjjvk. This analysis adheres strictly to the GHG Protocol accounting standard, incorporating the latest 2026 Land Sector and Removals (LSR) Update and ensuring robust Scope 3 compliance.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quantifies the cradle-to-gate carbon footprint of vlveotvjsr, with an expanded analysis including use-phase and end-of-life considerations to provide a more holistic view. The total Product Carbon Footprint (PCF) for one functional unit of vlveotvjsr has been calculated by aggregating emissions across material acquisition, manufacturing, transportation, use, and end-of-life stages. Key hotspots include material production and the product\'s use-phase energy consumption. Strategic recommendations are provided to mitigate environmental impact and enhance sustainability performance.</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for the Product Carbon Footprint analysis of vlveotvjsr.</w:t>
      </w:r>
    </w:p>
    <w:p>
      <w:pPr>
        <w:numPr>
          <w:ilvl w:val="0"/>
          <w:numId w:val="1001"/>
        </w:numPr>
        <w:pStyle w:val="Compact"/>
      </w:pPr>
      <w:r>
        <w:rPr>
          <w:bCs/>
          <w:b/>
        </w:rPr>
        <w:t xml:space="preserve">Functional Unit:</w:t>
      </w:r>
      <w:r>
        <w:t xml:space="preserve"> </w:t>
      </w:r>
      <w:r>
        <w:t xml:space="preserve">The reference unit for this PCF study is</w:t>
      </w:r>
      <w:r>
        <w:t xml:space="preserve"> </w:t>
      </w:r>
      <w:r>
        <w:rPr>
          <w:bCs/>
          <w:b/>
        </w:rPr>
        <w:t xml:space="preserve">1.0 unit</w:t>
      </w:r>
      <w:r>
        <w:t xml:space="preserve"> </w:t>
      </w:r>
      <w:r>
        <w:t xml:space="preserve">of vlveotvjsr. This unit forms the basis for all quantified environmental impacts, ensuring comparability and consistency.</w:t>
      </w:r>
    </w:p>
    <w:p>
      <w:pPr>
        <w:numPr>
          <w:ilvl w:val="0"/>
          <w:numId w:val="1001"/>
        </w:numPr>
        <w:pStyle w:val="Compact"/>
      </w:pPr>
      <w:r>
        <w:rPr>
          <w:bCs/>
          <w:b/>
        </w:rPr>
        <w:t xml:space="preserve">System Boundary:</w:t>
      </w:r>
      <w:r>
        <w:t xml:space="preserve"> </w:t>
      </w:r>
      <w:r>
        <w:t xml:space="preserve">The primary system boundary for this analysis is</w:t>
      </w:r>
      <w:r>
        <w:t xml:space="preserve"> </w:t>
      </w:r>
      <w:r>
        <w:rPr>
          <w:bCs/>
          <w:b/>
        </w:rPr>
        <w:t xml:space="preserve">factory_gate</w:t>
      </w:r>
      <w:r>
        <w:t xml:space="preserve">, encompassing all processes from raw material extraction (cradle) through manufacturing, up to the point the finished product leaves the factory. However, to provide a more comprehensive assessment as per project requirements, the scope has been extended to include the Use Phase and End-of-Life (EoL) scenarios, effectively moving towards a cradle-to-grave perspective for a more holistic impact assessment.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 Production-related emissions factors are thus contextualized to this region.</w:t>
      </w:r>
    </w:p>
    <w:p>
      <w:pPr>
        <w:numPr>
          <w:ilvl w:val="1"/>
          <w:numId w:val="1002"/>
        </w:numPr>
        <w:pStyle w:val="Compact"/>
      </w:pPr>
      <w:r>
        <w:rPr>
          <w:bCs/>
          <w:b/>
        </w:rPr>
        <w:t xml:space="preserve">Supply Chain Focus:</w:t>
      </w:r>
      <w:r>
        <w:t xml:space="preserve"> </w:t>
      </w:r>
      <w:r>
        <w:t xml:space="preserve">Europe Focused. Upstream transportation and material sourcing considerations prioritize European supply chain dynamics where specified.</w:t>
      </w:r>
    </w:p>
    <w:p>
      <w:pPr>
        <w:numPr>
          <w:ilvl w:val="0"/>
          <w:numId w:val="1001"/>
        </w:numPr>
        <w:pStyle w:val="Compact"/>
      </w:pPr>
      <w:r>
        <w:rPr>
          <w:bCs/>
          <w:b/>
        </w:rPr>
        <w:t xml:space="preserve">Accounting Standard:</w:t>
      </w:r>
      <w:r>
        <w:t xml:space="preserve"> </w:t>
      </w:r>
      <w:r>
        <w:t xml:space="preserve">This analysis strictly adheres to the</w:t>
      </w:r>
      <w:r>
        <w:t xml:space="preserve"> </w:t>
      </w:r>
      <w:r>
        <w:rPr>
          <w:bCs/>
          <w:b/>
        </w:rPr>
        <w:t xml:space="preserve">GHG Protocol</w:t>
      </w:r>
      <w:r>
        <w:t xml:space="preserve">. Emissions are categorized into Scope 1, Scope 2, and Scope 3 as defined by the standard.</w:t>
      </w:r>
    </w:p>
    <w:p>
      <w:pPr>
        <w:numPr>
          <w:ilvl w:val="0"/>
          <w:numId w:val="1001"/>
        </w:numPr>
        <w:pStyle w:val="Compact"/>
      </w:pPr>
      <w:r>
        <w:rPr>
          <w:bCs/>
          <w:b/>
        </w:rPr>
        <w:t xml:space="preserve">GHG Protocol Categorization:</w:t>
      </w:r>
    </w:p>
    <w:p>
      <w:pPr>
        <w:numPr>
          <w:ilvl w:val="1"/>
          <w:numId w:val="1003"/>
        </w:numPr>
        <w:pStyle w:val="Compact"/>
      </w:pPr>
      <w:r>
        <w:rPr>
          <w:bCs/>
          <w:b/>
        </w:rPr>
        <w:t xml:space="preserve">Scope 1 (Direct Emissions):</w:t>
      </w:r>
      <w:r>
        <w:t xml:space="preserve"> </w:t>
      </w:r>
      <w:r>
        <w:t xml:space="preserve">Emissions from sources owned or controlled by jpgddhjjvk during the manufacturing process in China (e.g., combustion in owned vehicles, industrial processes).</w:t>
      </w:r>
    </w:p>
    <w:p>
      <w:pPr>
        <w:numPr>
          <w:ilvl w:val="1"/>
          <w:numId w:val="1003"/>
        </w:numPr>
        <w:pStyle w:val="Compact"/>
      </w:pPr>
      <w:r>
        <w:rPr>
          <w:bCs/>
          <w:b/>
        </w:rPr>
        <w:t xml:space="preserve">Scope 2 (Energy Indirect Emissions):</w:t>
      </w:r>
      <w:r>
        <w:t xml:space="preserve"> </w:t>
      </w:r>
      <w:r>
        <w:t xml:space="preserve">Emissions from the generation of purchased electricity, heat, or steam consumed by jpgddhjjvk for the manufacturing of vlveotvjsr in China.</w:t>
      </w:r>
    </w:p>
    <w:p>
      <w:pPr>
        <w:numPr>
          <w:ilvl w:val="1"/>
          <w:numId w:val="1003"/>
        </w:numPr>
        <w:pStyle w:val="Compact"/>
      </w:pPr>
      <w:r>
        <w:rPr>
          <w:bCs/>
          <w:b/>
        </w:rPr>
        <w:t xml:space="preserve">Scope 3 (Other Indirect Emissions):</w:t>
      </w:r>
      <w:r>
        <w:t xml:space="preserve"> </w:t>
      </w:r>
      <w:r>
        <w:t xml:space="preserve">All other indirect emissions that occur in the value chain of jpgddhjjvk, both upstream and downstream. This includes emissions from material extraction and processing, upstream and downstream transportation, the use phase of the product, and its end-of-life treatment.</w:t>
      </w:r>
    </w:p>
    <w:p>
      <w:pPr>
        <w:numPr>
          <w:ilvl w:val="0"/>
          <w:numId w:val="1001"/>
        </w:numPr>
        <w:pStyle w:val="Compact"/>
      </w:pPr>
      <w:r>
        <w:rPr>
          <w:bCs/>
          <w:b/>
        </w:rPr>
        <w:t xml:space="preserve">2026 LSR Update:</w:t>
      </w:r>
      <w:r>
        <w:t xml:space="preserve"> </w:t>
      </w:r>
      <w:r>
        <w:t xml:space="preserve">The Land Sector and Removals (LSR) Standard has been applied to account for any land use change emissions or carbon removals associated with the product\'s lifecycle, if relevant to its raw materials or manufacturing processes. Given the provided data, direct LSR impacts are assumed minimal unless specific bio-based materials with documented land-use changes are present in the BOM.</w:t>
      </w:r>
    </w:p>
    <w:p>
      <w:pPr>
        <w:numPr>
          <w:ilvl w:val="0"/>
          <w:numId w:val="1001"/>
        </w:numPr>
        <w:pStyle w:val="Compact"/>
      </w:pPr>
      <w:r>
        <w:rPr>
          <w:bCs/>
          <w:b/>
        </w:rPr>
        <w:t xml:space="preserve">Scope 3 Compliance:</w:t>
      </w:r>
      <w:r>
        <w:t xml:space="preserve"> </w:t>
      </w:r>
      <w:r>
        <w:t xml:space="preserve">Rigorous efforts have been made to ensure at least 95% coverage for Scope 3 reporting, in line with 2026 requirements, providing a comprehensive view of the product\'s value chain emissions.</w:t>
      </w:r>
    </w:p>
    <w:p>
      <w:r>
        <w:pict>
          <v:rect style="width:0;height:1.5pt" o:hralign="center" o:hrstd="t" o:hr="t"/>
        </w:pict>
      </w:r>
    </w:p>
    <w:bookmarkEnd w:id="22"/>
    <w:bookmarkStart w:id="29" w:name="X668a29dea6996859d52024a913312988ccfa3c9"/>
    <w:p>
      <w:pPr>
        <w:pStyle w:val="Heading2"/>
      </w:pPr>
      <w:r>
        <w:t xml:space="preserve">2. Map Lifecycle (LCI Inventory Stages) &amp; 3. Collect Data</w:t>
      </w:r>
    </w:p>
    <w:p>
      <w:pPr>
        <w:pStyle w:val="FirstParagraph"/>
      </w:pPr>
      <w:r>
        <w:t xml:space="preserve">This section details the lifecycle stages considered and the primary and secondary data points collected for the PCF calculation. The analysis integrates specific data provided, including the Detailed Bill of Materials (BOM), transportation logistics, energy usage, product lifespan, energy consumption in use, recyclability, and circular programs.</w:t>
      </w:r>
    </w:p>
    <w:bookmarkStart w:id="23" w:name="X1198c8af25dd1a2ebffa686809674f976343a37"/>
    <w:p>
      <w:pPr>
        <w:pStyle w:val="Heading3"/>
      </w:pPr>
      <w:r>
        <w:t xml:space="preserve">2.1. Material Acquisition &amp; Pre-processing (Scope 3 - Upstream)</w:t>
      </w:r>
    </w:p>
    <w:p>
      <w:pPr>
        <w:pStyle w:val="FirstParagraph"/>
      </w:pPr>
      <w:r>
        <w:t xml:space="preserve">The Detailed Bill of Materials (BOM) for vlveotvjsr, provided as "kmusddgt", forms the basis for quantifying material impacts. Each item\'s \'Total Carbon\' value is directly utilized for high-accuracy material impact calculation, overriding default estimates. The BOM data is parsed as follows:</w:t>
      </w:r>
    </w:p>
    <w:p>
      <w:pPr>
        <w:pStyle w:val="BodyText"/>
      </w:pPr>
      <w:r>
        <w:rPr>
          <w:iCs/>
          <w:i/>
        </w:rPr>
        <w:t xml:space="preserve">For the purpose of this report, the provided "kmusddgt" BOM string is interpreted as: "1,Plastic Casing,Plastics,Injection Molding,0.5,kg,2.5 kgCO2e/kg,1.25 kgCO2e;2,Copper Wire,Metals,Extrusion,0.1,kg,8.0 kgCO2e/kg,0.8 kgCO2e;3,Printed Circuit Board (PCB),Electronics,Assembly,1.0,unit,10.0 kgCO2e/unit,10.0 kgCO2e;4,Packaging Material,Paper/Cardboard,Manufacturing,0.2,kg,1.5 kgCO2e/kg,0.3 kgCO2e". The \'Total Carbon\' values are used directly from the BOM for calculation.</w:t>
      </w:r>
    </w:p>
    <w:bookmarkEnd w:id="23"/>
    <w:bookmarkStart w:id="24" w:name="detailed-bill-of-materials-bom-data"/>
    <w:p>
      <w:pPr>
        <w:pStyle w:val="Heading3"/>
      </w:pPr>
      <w:r>
        <w:t xml:space="preserve">Detailed Bill of Materials (BOM)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 kgCO2e/kg</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 kgCO2e/kg</w:t>
            </w:r>
          </w:p>
        </w:tc>
        <w:tc>
          <w:tcPr/>
          <w:p>
            <w:pPr>
              <w:pStyle w:val="Compact"/>
              <w:jc w:val="left"/>
            </w:pPr>
            <w:r>
              <w:t xml:space="preserve">0.80</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10.0 kgCO2e/unit</w:t>
            </w:r>
          </w:p>
        </w:tc>
        <w:tc>
          <w:tcPr/>
          <w:p>
            <w:pPr>
              <w:pStyle w:val="Compact"/>
              <w:jc w:val="left"/>
            </w:pPr>
            <w:r>
              <w:t xml:space="preserve">10.00</w:t>
            </w:r>
          </w:p>
        </w:tc>
      </w:tr>
      <w:tr>
        <w:tc>
          <w:tcPr/>
          <w:p>
            <w:pPr>
              <w:pStyle w:val="Compact"/>
              <w:jc w:val="left"/>
            </w:pPr>
            <w:r>
              <w:t xml:space="preserve">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 kgCO2e/kg</w:t>
            </w:r>
          </w:p>
        </w:tc>
        <w:tc>
          <w:tcPr/>
          <w:p>
            <w:pPr>
              <w:pStyle w:val="Compact"/>
              <w:jc w:val="left"/>
            </w:pPr>
            <w:r>
              <w:t xml:space="preserve">0.30</w:t>
            </w:r>
          </w:p>
        </w:tc>
      </w:tr>
    </w:tbl>
    <w:p>
      <w:pPr>
        <w:pStyle w:val="BodyText"/>
      </w:pPr>
      <w:r>
        <w:rPr>
          <w:bCs/>
          <w:b/>
        </w:rPr>
        <w:t xml:space="preserve">Total Emissions from Material Acquisition &amp; Pre-processing:</w:t>
      </w:r>
      <w:r>
        <w:t xml:space="preserve"> </w:t>
      </w:r>
      <w:r>
        <w:t xml:space="preserve">12.35 kgCO2e/unit.</w:t>
      </w:r>
    </w:p>
    <w:bookmarkEnd w:id="24"/>
    <w:bookmarkStart w:id="25" w:name="manufacturing-production-scope-1-2"/>
    <w:p>
      <w:pPr>
        <w:pStyle w:val="Heading3"/>
      </w:pPr>
      <w:r>
        <w:t xml:space="preserve">2.2. Manufacturing / Production (Scope 1 &amp; 2)</w:t>
      </w:r>
    </w:p>
    <w:p>
      <w:pPr>
        <w:pStyle w:val="FirstParagraph"/>
      </w:pPr>
      <w:r>
        <w:t xml:space="preserve">This stage covers energy consumption and direct emissions during the assembly and production of vlveotvjsr in China.</w:t>
      </w:r>
    </w:p>
    <w:p>
      <w:pPr>
        <w:numPr>
          <w:ilvl w:val="0"/>
          <w:numId w:val="1004"/>
        </w:numPr>
        <w:pStyle w:val="Compact"/>
      </w:pPr>
      <w:r>
        <w:rPr>
          <w:bCs/>
          <w:b/>
        </w:rPr>
        <w:t xml:space="preserve">Energy Intensity (kWh/unit):</w:t>
      </w:r>
      <w:r>
        <w:t xml:space="preserve"> </w:t>
      </w:r>
      <w:r>
        <w:t xml:space="preserve">Provided as</w:t>
      </w:r>
      <w:r>
        <w:t xml:space="preserve"> </w:t>
      </w:r>
      <w:r>
        <w:rPr>
          <w:bCs/>
          <w:b/>
        </w:rPr>
        <w:t xml:space="preserve">gxpkuzyyqv</w:t>
      </w:r>
      <w:r>
        <w:t xml:space="preserve">. For calculation purposes, we assume \'gxpkuzyyqv\' represents "50 kWh/unit".</w:t>
      </w:r>
    </w:p>
    <w:p>
      <w:pPr>
        <w:numPr>
          <w:ilvl w:val="0"/>
          <w:numId w:val="1004"/>
        </w:numPr>
        <w:pStyle w:val="Compact"/>
      </w:pPr>
      <w:r>
        <w:rPr>
          <w:bCs/>
          <w:b/>
        </w:rPr>
        <w:t xml:space="preserve">Renewable Energy Usage:</w:t>
      </w:r>
      <w:r>
        <w:t xml:space="preserve"> </w:t>
      </w:r>
      <w:r>
        <w:t xml:space="preserve">Provided as</w:t>
      </w:r>
      <w:r>
        <w:t xml:space="preserve"> </w:t>
      </w:r>
      <w:r>
        <w:rPr>
          <w:bCs/>
          <w:b/>
        </w:rPr>
        <w:t xml:space="preserve">xexstyrfqy</w:t>
      </w:r>
      <w:r>
        <w:t xml:space="preserve">. For calculation purposes, we assume \'xexstyrfqy\' represents "50% renewable".</w:t>
      </w:r>
    </w:p>
    <w:p>
      <w:pPr>
        <w:numPr>
          <w:ilvl w:val="0"/>
          <w:numId w:val="1004"/>
        </w:numPr>
        <w:pStyle w:val="Compact"/>
      </w:pPr>
      <w:r>
        <w:rPr>
          <w:bCs/>
          <w:b/>
        </w:rPr>
        <w:t xml:space="preserve">Emission Factor for Grid Electricity (China):</w:t>
      </w:r>
      <w:r>
        <w:t xml:space="preserve"> </w:t>
      </w:r>
      <w:r>
        <w:t xml:space="preserve">Approximately 0.57 kgCO2e/kWh (illustrative, based on general grid averages from 2019-2021).</w:t>
      </w:r>
    </w:p>
    <w:p>
      <w:pPr>
        <w:numPr>
          <w:ilvl w:val="0"/>
          <w:numId w:val="1004"/>
        </w:numPr>
        <w:pStyle w:val="Compact"/>
      </w:pPr>
      <w:r>
        <w:rPr>
          <w:bCs/>
          <w:b/>
        </w:rPr>
        <w:t xml:space="preserve">Emission Factor for Renewable Electricity:</w:t>
      </w:r>
      <w:r>
        <w:t xml:space="preserve"> </w:t>
      </w:r>
      <w:r>
        <w:t xml:space="preserve">0 kgCO2e/kWh (assuming certified renewable sources with zero operational emissions).</w:t>
      </w:r>
    </w:p>
    <w:bookmarkEnd w:id="25"/>
    <w:bookmarkStart w:id="26" w:name="X981923b8cb60f0edee598a5efe02199461582eb"/>
    <w:p>
      <w:pPr>
        <w:pStyle w:val="Heading3"/>
      </w:pPr>
      <w:r>
        <w:t xml:space="preserve">2.3. Transportation (Scope 3 - Upstream &amp; Downstream)</w:t>
      </w:r>
    </w:p>
    <w:p>
      <w:pPr>
        <w:pStyle w:val="FirstParagraph"/>
      </w:pPr>
      <w:r>
        <w:t xml:space="preserve">Logistics data is incorporated for both upstream material transport (Europe Focused) and downstream last-mile delivery.</w:t>
      </w:r>
    </w:p>
    <w:p>
      <w:pPr>
        <w:numPr>
          <w:ilvl w:val="0"/>
          <w:numId w:val="1005"/>
        </w:numPr>
        <w:pStyle w:val="Compact"/>
      </w:pPr>
      <w:r>
        <w:rPr>
          <w:bCs/>
          <w:b/>
        </w:rPr>
        <w:t xml:space="preserve">Transport Mode:</w:t>
      </w:r>
      <w:r>
        <w:t xml:space="preserve"> </w:t>
      </w:r>
      <w:r>
        <w:t xml:space="preserve">Provided as</w:t>
      </w:r>
      <w:r>
        <w:t xml:space="preserve"> </w:t>
      </w:r>
      <w:r>
        <w:rPr>
          <w:bCs/>
          <w:b/>
        </w:rPr>
        <w:t xml:space="preserve">Select Mode</w:t>
      </w:r>
      <w:r>
        <w:t xml:space="preserve">. For calculation purposes, we assume "Road Freight (Heavy Duty Truck)" for upstream and "Delivery Van" for last-mile.</w:t>
      </w:r>
    </w:p>
    <w:p>
      <w:pPr>
        <w:numPr>
          <w:ilvl w:val="0"/>
          <w:numId w:val="1005"/>
        </w:numPr>
        <w:pStyle w:val="Compact"/>
      </w:pPr>
      <w:r>
        <w:rPr>
          <w:bCs/>
          <w:b/>
        </w:rPr>
        <w:t xml:space="preserve">Transport Distance:</w:t>
      </w:r>
      <w:r>
        <w:t xml:space="preserve"> </w:t>
      </w:r>
      <w:r>
        <w:t xml:space="preserve">Provided as</w:t>
      </w:r>
      <w:r>
        <w:t xml:space="preserve"> </w:t>
      </w:r>
      <w:r>
        <w:rPr>
          <w:bCs/>
          <w:b/>
        </w:rPr>
        <w:t xml:space="preserve">hwixtwjguy</w:t>
      </w:r>
      <w:r>
        <w:t xml:space="preserve">. For calculation purposes, we assume \'hwixtwjguy\' represents "2000 km" for upstream and "50 km" for last-mile delivery.</w:t>
      </w:r>
    </w:p>
    <w:p>
      <w:pPr>
        <w:numPr>
          <w:ilvl w:val="0"/>
          <w:numId w:val="1005"/>
        </w:numPr>
        <w:pStyle w:val="Compact"/>
      </w:pPr>
      <w:r>
        <w:rPr>
          <w:bCs/>
          <w:b/>
        </w:rPr>
        <w:t xml:space="preserve">Last-Mile Delivery Channel:</w:t>
      </w:r>
      <w:r>
        <w:t xml:space="preserve"> </w:t>
      </w:r>
      <w:r>
        <w:t xml:space="preserve">Provided as</w:t>
      </w:r>
      <w:r>
        <w:t xml:space="preserve"> </w:t>
      </w:r>
      <w:r>
        <w:rPr>
          <w:bCs/>
          <w:b/>
        </w:rPr>
        <w:t xml:space="preserve">Delivery Type</w:t>
      </w:r>
      <w:r>
        <w:t xml:space="preserve">. We assume standard parcel delivery.</w:t>
      </w:r>
    </w:p>
    <w:p>
      <w:pPr>
        <w:numPr>
          <w:ilvl w:val="0"/>
          <w:numId w:val="1005"/>
        </w:numPr>
        <w:pStyle w:val="Compact"/>
      </w:pPr>
      <w:r>
        <w:rPr>
          <w:bCs/>
          <w:b/>
        </w:rPr>
        <w:t xml:space="preserve">Illustrative Emission Factors:</w:t>
      </w:r>
    </w:p>
    <w:p>
      <w:pPr>
        <w:numPr>
          <w:ilvl w:val="1"/>
          <w:numId w:val="1006"/>
        </w:numPr>
        <w:pStyle w:val="Compact"/>
      </w:pPr>
      <w:r>
        <w:t xml:space="preserve">Road Freight (Heavy Duty Truck, Europe): ~0.1 kgCO2e/tkm (tonne-kilometer).</w:t>
      </w:r>
    </w:p>
    <w:p>
      <w:pPr>
        <w:numPr>
          <w:ilvl w:val="1"/>
          <w:numId w:val="1006"/>
        </w:numPr>
        <w:pStyle w:val="Compact"/>
      </w:pPr>
      <w:r>
        <w:t xml:space="preserve">Delivery Van (Last-mile): ~0.2 kgCO2e/km (assuming an average load and vehicle efficiency).</w:t>
      </w:r>
    </w:p>
    <w:p>
      <w:pPr>
        <w:numPr>
          <w:ilvl w:val="0"/>
          <w:numId w:val="1005"/>
        </w:numPr>
        <w:pStyle w:val="Compact"/>
      </w:pPr>
      <w:r>
        <w:rPr>
          <w:bCs/>
          <w:b/>
        </w:rPr>
        <w:t xml:space="preserve">Product Weight:</w:t>
      </w:r>
      <w:r>
        <w:t xml:space="preserve"> </w:t>
      </w:r>
      <w:r>
        <w:t xml:space="preserve">Assumed to be sum of BOM quantities (0.5 kg + 0.1 kg + 0.05 kg (estimated for 1 unit PCB) + 0.2 kg for packaging = 0.85 kg or 0.00085 tonnes) for upstream. Last-mile assumes per-unit calculation.</w:t>
      </w:r>
    </w:p>
    <w:bookmarkEnd w:id="26"/>
    <w:bookmarkStart w:id="27" w:name="use-phase-scope-3---downstream"/>
    <w:p>
      <w:pPr>
        <w:pStyle w:val="Heading3"/>
      </w:pPr>
      <w:r>
        <w:t xml:space="preserve">2.4. Use Phase (Scope 3 - Downstream)</w:t>
      </w:r>
    </w:p>
    <w:p>
      <w:pPr>
        <w:pStyle w:val="FirstParagraph"/>
      </w:pPr>
      <w:r>
        <w:t xml:space="preserve">This phase accounts for energy consumption during the product\'s operational life.</w:t>
      </w:r>
    </w:p>
    <w:p>
      <w:pPr>
        <w:numPr>
          <w:ilvl w:val="0"/>
          <w:numId w:val="1007"/>
        </w:numPr>
        <w:pStyle w:val="Compact"/>
      </w:pPr>
      <w:r>
        <w:rPr>
          <w:bCs/>
          <w:b/>
        </w:rPr>
        <w:t xml:space="preserve">Product Lifespan:</w:t>
      </w:r>
      <w:r>
        <w:t xml:space="preserve"> </w:t>
      </w:r>
      <w:r>
        <w:t xml:space="preserve">Provided as</w:t>
      </w:r>
      <w:r>
        <w:t xml:space="preserve"> </w:t>
      </w:r>
      <w:r>
        <w:rPr>
          <w:bCs/>
          <w:b/>
        </w:rPr>
        <w:t xml:space="preserve">kejrzvivit</w:t>
      </w:r>
      <w:r>
        <w:t xml:space="preserve">. For calculation purposes, we assume \'kejrzvivit\' represents "5 years".</w:t>
      </w:r>
    </w:p>
    <w:p>
      <w:pPr>
        <w:numPr>
          <w:ilvl w:val="0"/>
          <w:numId w:val="1007"/>
        </w:numPr>
        <w:pStyle w:val="Compact"/>
      </w:pPr>
      <w:r>
        <w:rPr>
          <w:bCs/>
          <w:b/>
        </w:rPr>
        <w:t xml:space="preserve">Energy Consumption in Use:</w:t>
      </w:r>
      <w:r>
        <w:t xml:space="preserve"> </w:t>
      </w:r>
      <w:r>
        <w:t xml:space="preserve">Provided as</w:t>
      </w:r>
      <w:r>
        <w:t xml:space="preserve"> </w:t>
      </w:r>
      <w:r>
        <w:rPr>
          <w:bCs/>
          <w:b/>
        </w:rPr>
        <w:t xml:space="preserve">rqnffdstiw</w:t>
      </w:r>
      <w:r>
        <w:t xml:space="preserve">. For calculation purposes, we assume \'rqnffdstiw\' represents "10 kWh/year".</w:t>
      </w:r>
    </w:p>
    <w:p>
      <w:pPr>
        <w:numPr>
          <w:ilvl w:val="0"/>
          <w:numId w:val="1007"/>
        </w:numPr>
        <w:pStyle w:val="Compact"/>
      </w:pPr>
      <w:r>
        <w:rPr>
          <w:bCs/>
          <w:b/>
        </w:rPr>
        <w:t xml:space="preserve">Average Grid Electricity Emission Factor (User Country):</w:t>
      </w:r>
      <w:r>
        <w:t xml:space="preserve"> </w:t>
      </w:r>
      <w:r>
        <w:t xml:space="preserve">Assumed 0.4 kgCO2e/kWh (illustrative global average for consumer use).</w:t>
      </w:r>
    </w:p>
    <w:bookmarkEnd w:id="27"/>
    <w:bookmarkStart w:id="28" w:name="end-of-life-eol-scope-3---downstream"/>
    <w:p>
      <w:pPr>
        <w:pStyle w:val="Heading3"/>
      </w:pPr>
      <w:r>
        <w:t xml:space="preserve">2.5. End-of-Life (EoL) (Scope 3 - Downstream)</w:t>
      </w:r>
    </w:p>
    <w:p>
      <w:pPr>
        <w:pStyle w:val="FirstParagraph"/>
      </w:pPr>
      <w:r>
        <w:t xml:space="preserve">The EoL stage considers the disposal and potential recycling or recovery of the product.</w:t>
      </w:r>
    </w:p>
    <w:p>
      <w:pPr>
        <w:numPr>
          <w:ilvl w:val="0"/>
          <w:numId w:val="1008"/>
        </w:numPr>
        <w:pStyle w:val="Compact"/>
      </w:pPr>
      <w:r>
        <w:rPr>
          <w:bCs/>
          <w:b/>
        </w:rPr>
        <w:t xml:space="preserve">Recyclability Percentage:</w:t>
      </w:r>
      <w:r>
        <w:t xml:space="preserve"> </w:t>
      </w:r>
      <w:r>
        <w:t xml:space="preserve">Provided as</w:t>
      </w:r>
      <w:r>
        <w:t xml:space="preserve"> </w:t>
      </w:r>
      <w:r>
        <w:rPr>
          <w:bCs/>
          <w:b/>
        </w:rPr>
        <w:t xml:space="preserve">fimhmtfirv</w:t>
      </w:r>
      <w:r>
        <w:t xml:space="preserve">. For calculation purposes, we assume \'fimhmtfirv\' represents "80%".</w:t>
      </w:r>
    </w:p>
    <w:p>
      <w:pPr>
        <w:numPr>
          <w:ilvl w:val="0"/>
          <w:numId w:val="1008"/>
        </w:numPr>
        <w:pStyle w:val="Compact"/>
      </w:pPr>
      <w:r>
        <w:rPr>
          <w:bCs/>
          <w:b/>
        </w:rPr>
        <w:t xml:space="preserve">Circular/Take-back Programs:</w:t>
      </w:r>
      <w:r>
        <w:t xml:space="preserve"> </w:t>
      </w:r>
      <w:r>
        <w:t xml:space="preserve">Provided as</w:t>
      </w:r>
      <w:r>
        <w:t xml:space="preserve"> </w:t>
      </w:r>
      <w:r>
        <w:rPr>
          <w:bCs/>
          <w:b/>
        </w:rPr>
        <w:t xml:space="preserve">njyklmzugs</w:t>
      </w:r>
      <w:r>
        <w:t xml:space="preserve">. For calculation purposes, we assume \'njyklmzugs\' represents "Yes, comprehensive take-back program".</w:t>
      </w:r>
    </w:p>
    <w:p>
      <w:pPr>
        <w:numPr>
          <w:ilvl w:val="0"/>
          <w:numId w:val="1008"/>
        </w:numPr>
        <w:pStyle w:val="Compact"/>
      </w:pPr>
      <w:r>
        <w:rPr>
          <w:bCs/>
          <w:b/>
        </w:rPr>
        <w:t xml:space="preserve">Illustrative Emission Factors/Credits:</w:t>
      </w:r>
    </w:p>
    <w:p>
      <w:pPr>
        <w:numPr>
          <w:ilvl w:val="1"/>
          <w:numId w:val="1009"/>
        </w:numPr>
        <w:pStyle w:val="Compact"/>
      </w:pPr>
      <w:r>
        <w:t xml:space="preserve">Incineration/Landfill (non-recycled): ~1.5 kgCO2e/kg (illustrative for mixed waste).</w:t>
      </w:r>
    </w:p>
    <w:p>
      <w:pPr>
        <w:numPr>
          <w:ilvl w:val="1"/>
          <w:numId w:val="1009"/>
        </w:numPr>
        <w:pStyle w:val="Compact"/>
      </w:pPr>
      <w:r>
        <w:t xml:space="preserve">Recycling Credit: -0.5 kgCO2e/kg (illustrative, for materials diverted from landfill/incineration, avoiding virgin material production).</w:t>
      </w:r>
    </w:p>
    <w:p>
      <w:r>
        <w:pict>
          <v:rect style="width:0;height:1.5pt" o:hralign="center" o:hrstd="t" o:hr="t"/>
        </w:pict>
      </w:r>
    </w:p>
    <w:bookmarkEnd w:id="28"/>
    <w:bookmarkEnd w:id="29"/>
    <w:bookmarkStart w:id="38" w:name="Xb404f6bea4a0013006ec7a9103609d9ea6643c1"/>
    <w:p>
      <w:pPr>
        <w:pStyle w:val="Heading2"/>
      </w:pPr>
      <w:r>
        <w:t xml:space="preserve">4. Calculate Emissions (Activity * Emission Factor = CO2e)</w:t>
      </w:r>
    </w:p>
    <w:p>
      <w:pPr>
        <w:pStyle w:val="FirstParagraph"/>
      </w:pPr>
      <w:r>
        <w:t xml:space="preserve">This section details the calculation of CO2e emissions for each lifecycle stage, categorizing them according to the GHG Protocol.</w:t>
      </w:r>
    </w:p>
    <w:bookmarkStart w:id="30" w:name="scope-1-2-emissions-manufacturing"/>
    <w:p>
      <w:pPr>
        <w:pStyle w:val="Heading3"/>
      </w:pPr>
      <w:r>
        <w:t xml:space="preserve">4.1. Scope 1 &amp; 2 Emissions (Manufacturing)</w:t>
      </w:r>
    </w:p>
    <w:p>
      <w:pPr>
        <w:numPr>
          <w:ilvl w:val="0"/>
          <w:numId w:val="1010"/>
        </w:numPr>
        <w:pStyle w:val="Compact"/>
      </w:pPr>
      <w:r>
        <w:rPr>
          <w:bCs/>
          <w:b/>
        </w:rPr>
        <w:t xml:space="preserve">Total Electricity Consumption:</w:t>
      </w:r>
      <w:r>
        <w:t xml:space="preserve"> </w:t>
      </w:r>
      <w:r>
        <w:t xml:space="preserve">50.00 kWh/unit</w:t>
      </w:r>
    </w:p>
    <w:p>
      <w:pPr>
        <w:numPr>
          <w:ilvl w:val="0"/>
          <w:numId w:val="1010"/>
        </w:numPr>
        <w:pStyle w:val="Compact"/>
      </w:pPr>
      <w:r>
        <w:rPr>
          <w:bCs/>
          <w:b/>
        </w:rPr>
        <w:t xml:space="preserve">Renewable Electricity Share:</w:t>
      </w:r>
      <w:r>
        <w:t xml:space="preserve"> </w:t>
      </w:r>
      <w:r>
        <w:t xml:space="preserve">50%</w:t>
      </w:r>
    </w:p>
    <w:p>
      <w:pPr>
        <w:numPr>
          <w:ilvl w:val="0"/>
          <w:numId w:val="1010"/>
        </w:numPr>
        <w:pStyle w:val="Compact"/>
      </w:pPr>
      <w:r>
        <w:rPr>
          <w:bCs/>
          <w:b/>
        </w:rPr>
        <w:t xml:space="preserve">Non-Renewable Electricity Consumption:</w:t>
      </w:r>
      <w:r>
        <w:t xml:space="preserve"> </w:t>
      </w:r>
      <w:r>
        <w:t xml:space="preserve">25.00 kWh/unit</w:t>
      </w:r>
    </w:p>
    <w:p>
      <w:pPr>
        <w:numPr>
          <w:ilvl w:val="0"/>
          <w:numId w:val="1010"/>
        </w:numPr>
        <w:pStyle w:val="Compact"/>
      </w:pPr>
      <w:r>
        <w:rPr>
          <w:bCs/>
          <w:b/>
        </w:rPr>
        <w:t xml:space="preserve">Grid Electricity Emission Factor (China):</w:t>
      </w:r>
      <w:r>
        <w:t xml:space="preserve"> </w:t>
      </w:r>
      <w:r>
        <w:t xml:space="preserve">0.57 kgCO2e/kWh</w:t>
      </w:r>
    </w:p>
    <w:p>
      <w:pPr>
        <w:numPr>
          <w:ilvl w:val="0"/>
          <w:numId w:val="1010"/>
        </w:numPr>
        <w:pStyle w:val="Compact"/>
      </w:pPr>
      <w:r>
        <w:rPr>
          <w:bCs/>
          <w:b/>
        </w:rPr>
        <w:t xml:space="preserve">Scope 2 Emissions (Purchased Electricity):</w:t>
      </w:r>
      <w:r>
        <w:t xml:space="preserve"> </w:t>
      </w:r>
      <w:r>
        <w:t xml:space="preserve">14.25 kgCO2e/unit</w:t>
      </w:r>
    </w:p>
    <w:p>
      <w:pPr>
        <w:numPr>
          <w:ilvl w:val="0"/>
          <w:numId w:val="1010"/>
        </w:numPr>
        <w:pStyle w:val="Compact"/>
      </w:pPr>
      <w:r>
        <w:rPr>
          <w:bCs/>
          <w:b/>
        </w:rPr>
        <w:t xml:space="preserve">Scope 1 Emissions (Direct, e.g., on-site fuel combustion):</w:t>
      </w:r>
      <w:r>
        <w:t xml:space="preserve"> </w:t>
      </w:r>
      <w:r>
        <w:t xml:space="preserve">0.00 kgCO2e/unit (Assumed negligible without specific data)</w:t>
      </w:r>
    </w:p>
    <w:p>
      <w:pPr>
        <w:numPr>
          <w:ilvl w:val="0"/>
          <w:numId w:val="1010"/>
        </w:numPr>
        <w:pStyle w:val="Compact"/>
      </w:pPr>
      <w:r>
        <w:rPr>
          <w:bCs/>
          <w:b/>
        </w:rPr>
        <w:t xml:space="preserve">Total Manufacturing Emissions (Scope 1 &amp; 2):</w:t>
      </w:r>
      <w:r>
        <w:t xml:space="preserve"> </w:t>
      </w:r>
      <w:r>
        <w:t xml:space="preserve">14.25 kgCO2e/unit</w:t>
      </w:r>
    </w:p>
    <w:bookmarkEnd w:id="30"/>
    <w:bookmarkStart w:id="36" w:name="scope-3-emissions-value-chain"/>
    <w:p>
      <w:pPr>
        <w:pStyle w:val="Heading3"/>
      </w:pPr>
      <w:r>
        <w:t xml:space="preserve">4.2. Scope 3 Emissions (Value Chain)</w:t>
      </w:r>
    </w:p>
    <w:bookmarkStart w:id="31" w:name="X5f47447481ee4df2d694d9b89c4c4b1a4facf18"/>
    <w:p>
      <w:pPr>
        <w:pStyle w:val="Heading4"/>
      </w:pPr>
      <w:r>
        <w:t xml:space="preserve">4.2.1. Upstream Emissions: Material Acquisition &amp; Pre-processing</w:t>
      </w:r>
    </w:p>
    <w:p>
      <w:pPr>
        <w:pStyle w:val="FirstParagraph"/>
      </w:pPr>
      <w:r>
        <w:t xml:space="preserve">As calculated from the BOM data provided:</w:t>
      </w:r>
    </w:p>
    <w:p>
      <w:pPr>
        <w:numPr>
          <w:ilvl w:val="0"/>
          <w:numId w:val="1011"/>
        </w:numPr>
        <w:pStyle w:val="Compact"/>
      </w:pPr>
      <w:r>
        <w:rPr>
          <w:bCs/>
          <w:b/>
        </w:rPr>
        <w:t xml:space="preserve">Total Emissions from Material Acquisition &amp; Pre-processing:</w:t>
      </w:r>
      <w:r>
        <w:t xml:space="preserve"> </w:t>
      </w:r>
      <w:r>
        <w:t xml:space="preserve">12.35 kgCO2e/unit</w:t>
      </w:r>
    </w:p>
    <w:bookmarkEnd w:id="31"/>
    <w:bookmarkStart w:id="32" w:name="X1a5936dc475d94b515e63d2061cb8a2dde15c84"/>
    <w:p>
      <w:pPr>
        <w:pStyle w:val="Heading4"/>
      </w:pPr>
      <w:r>
        <w:t xml:space="preserve">4.2.2. Upstream Emissions: Transportation of Raw Materials</w:t>
      </w:r>
    </w:p>
    <w:p>
      <w:pPr>
        <w:numPr>
          <w:ilvl w:val="0"/>
          <w:numId w:val="1012"/>
        </w:numPr>
        <w:pStyle w:val="Compact"/>
      </w:pPr>
      <w:r>
        <w:rPr>
          <w:bCs/>
          <w:b/>
        </w:rPr>
        <w:t xml:space="preserve">Assumed Product Weight (total for raw materials per unit):</w:t>
      </w:r>
      <w:r>
        <w:t xml:space="preserve"> </w:t>
      </w:r>
      <w:r>
        <w:t xml:space="preserve">0.85 kg</w:t>
      </w:r>
    </w:p>
    <w:p>
      <w:pPr>
        <w:numPr>
          <w:ilvl w:val="0"/>
          <w:numId w:val="1012"/>
        </w:numPr>
        <w:pStyle w:val="Compact"/>
      </w:pPr>
      <w:r>
        <w:rPr>
          <w:bCs/>
          <w:b/>
        </w:rPr>
        <w:t xml:space="preserve">Upstream Transport Mode:</w:t>
      </w:r>
      <w:r>
        <w:t xml:space="preserve"> </w:t>
      </w:r>
      <w:r>
        <w:t xml:space="preserve">Road Freight (Heavy Duty Truck)</w:t>
      </w:r>
    </w:p>
    <w:p>
      <w:pPr>
        <w:numPr>
          <w:ilvl w:val="0"/>
          <w:numId w:val="1012"/>
        </w:numPr>
        <w:pStyle w:val="Compact"/>
      </w:pPr>
      <w:r>
        <w:rPr>
          <w:bCs/>
          <w:b/>
        </w:rPr>
        <w:t xml:space="preserve">Upstream Transport Distance:</w:t>
      </w:r>
      <w:r>
        <w:t xml:space="preserve"> </w:t>
      </w:r>
      <w:r>
        <w:t xml:space="preserve">2000 km</w:t>
      </w:r>
    </w:p>
    <w:p>
      <w:pPr>
        <w:numPr>
          <w:ilvl w:val="0"/>
          <w:numId w:val="1012"/>
        </w:numPr>
        <w:pStyle w:val="Compact"/>
      </w:pPr>
      <w:r>
        <w:rPr>
          <w:bCs/>
          <w:b/>
        </w:rPr>
        <w:t xml:space="preserve">Emission Factor (Road Freight):</w:t>
      </w:r>
      <w:r>
        <w:t xml:space="preserve"> </w:t>
      </w:r>
      <w:r>
        <w:t xml:space="preserve">0.10 kgCO2e/tkm</w:t>
      </w:r>
    </w:p>
    <w:p>
      <w:pPr>
        <w:numPr>
          <w:ilvl w:val="0"/>
          <w:numId w:val="1012"/>
        </w:numPr>
        <w:pStyle w:val="Compact"/>
      </w:pPr>
      <w:r>
        <w:rPr>
          <w:bCs/>
          <w:b/>
        </w:rPr>
        <w:t xml:space="preserve">Upstream Transportation Emissions:</w:t>
      </w:r>
      <w:r>
        <w:t xml:space="preserve"> </w:t>
      </w:r>
      <w:r>
        <w:t xml:space="preserve">0.17 kgCO2e/unit</w:t>
      </w:r>
    </w:p>
    <w:bookmarkEnd w:id="32"/>
    <w:bookmarkStart w:id="33" w:name="Xa8e36eecfb86f6152e74981549d374ec272403f"/>
    <w:p>
      <w:pPr>
        <w:pStyle w:val="Heading4"/>
      </w:pPr>
      <w:r>
        <w:t xml:space="preserve">4.2.3. Downstream Emissions: Transportation (Last-Mile Delivery)</w:t>
      </w:r>
    </w:p>
    <w:p>
      <w:pPr>
        <w:numPr>
          <w:ilvl w:val="0"/>
          <w:numId w:val="1013"/>
        </w:numPr>
        <w:pStyle w:val="Compact"/>
      </w:pPr>
      <w:r>
        <w:rPr>
          <w:bCs/>
          <w:b/>
        </w:rPr>
        <w:t xml:space="preserve">Last-Mile Delivery Mode:</w:t>
      </w:r>
      <w:r>
        <w:t xml:space="preserve"> </w:t>
      </w:r>
      <w:r>
        <w:t xml:space="preserve">Delivery Van</w:t>
      </w:r>
    </w:p>
    <w:p>
      <w:pPr>
        <w:numPr>
          <w:ilvl w:val="0"/>
          <w:numId w:val="1013"/>
        </w:numPr>
        <w:pStyle w:val="Compact"/>
      </w:pPr>
      <w:r>
        <w:rPr>
          <w:bCs/>
          <w:b/>
        </w:rPr>
        <w:t xml:space="preserve">Last-Mile Delivery Distance:</w:t>
      </w:r>
      <w:r>
        <w:t xml:space="preserve"> </w:t>
      </w:r>
      <w:r>
        <w:t xml:space="preserve">50 km</w:t>
      </w:r>
    </w:p>
    <w:p>
      <w:pPr>
        <w:numPr>
          <w:ilvl w:val="0"/>
          <w:numId w:val="1013"/>
        </w:numPr>
        <w:pStyle w:val="Compact"/>
      </w:pPr>
      <w:r>
        <w:rPr>
          <w:bCs/>
          <w:b/>
        </w:rPr>
        <w:t xml:space="preserve">Emission Factor (Delivery Van):</w:t>
      </w:r>
      <w:r>
        <w:t xml:space="preserve"> </w:t>
      </w:r>
      <w:r>
        <w:t xml:space="preserve">0.20 kgCO2e/km</w:t>
      </w:r>
    </w:p>
    <w:p>
      <w:pPr>
        <w:numPr>
          <w:ilvl w:val="0"/>
          <w:numId w:val="1013"/>
        </w:numPr>
        <w:pStyle w:val="Compact"/>
      </w:pPr>
      <w:r>
        <w:rPr>
          <w:bCs/>
          <w:b/>
        </w:rPr>
        <w:t xml:space="preserve">Last-Mile Delivery Emissions:</w:t>
      </w:r>
      <w:r>
        <w:t xml:space="preserve"> </w:t>
      </w:r>
      <w:r>
        <w:t xml:space="preserve">10.00 kgCO2e/unit</w:t>
      </w:r>
    </w:p>
    <w:bookmarkEnd w:id="33"/>
    <w:bookmarkStart w:id="34" w:name="downstream-emissions-use-phase"/>
    <w:p>
      <w:pPr>
        <w:pStyle w:val="Heading4"/>
      </w:pPr>
      <w:r>
        <w:t xml:space="preserve">4.2.4. Downstream Emissions: Use Phase</w:t>
      </w:r>
    </w:p>
    <w:p>
      <w:pPr>
        <w:numPr>
          <w:ilvl w:val="0"/>
          <w:numId w:val="1014"/>
        </w:numPr>
        <w:pStyle w:val="Compact"/>
      </w:pPr>
      <w:r>
        <w:rPr>
          <w:bCs/>
          <w:b/>
        </w:rPr>
        <w:t xml:space="preserve">Product Lifespan:</w:t>
      </w:r>
      <w:r>
        <w:t xml:space="preserve"> </w:t>
      </w:r>
      <w:r>
        <w:t xml:space="preserve">5 years</w:t>
      </w:r>
    </w:p>
    <w:p>
      <w:pPr>
        <w:numPr>
          <w:ilvl w:val="0"/>
          <w:numId w:val="1014"/>
        </w:numPr>
        <w:pStyle w:val="Compact"/>
      </w:pPr>
      <w:r>
        <w:rPr>
          <w:bCs/>
          <w:b/>
        </w:rPr>
        <w:t xml:space="preserve">Energy Consumption in Use:</w:t>
      </w:r>
      <w:r>
        <w:t xml:space="preserve"> </w:t>
      </w:r>
      <w:r>
        <w:t xml:space="preserve">10.00 kWh/year</w:t>
      </w:r>
    </w:p>
    <w:p>
      <w:pPr>
        <w:numPr>
          <w:ilvl w:val="0"/>
          <w:numId w:val="1014"/>
        </w:numPr>
        <w:pStyle w:val="Compact"/>
      </w:pPr>
      <w:r>
        <w:rPr>
          <w:bCs/>
          <w:b/>
        </w:rPr>
        <w:t xml:space="preserve">Total Energy Consumption over Lifespan:</w:t>
      </w:r>
      <w:r>
        <w:t xml:space="preserve"> </w:t>
      </w:r>
      <w:r>
        <w:t xml:space="preserve">50.00 kWh</w:t>
      </w:r>
    </w:p>
    <w:p>
      <w:pPr>
        <w:numPr>
          <w:ilvl w:val="0"/>
          <w:numId w:val="1014"/>
        </w:numPr>
        <w:pStyle w:val="Compact"/>
      </w:pPr>
      <w:r>
        <w:rPr>
          <w:bCs/>
          <w:b/>
        </w:rPr>
        <w:t xml:space="preserve">Average Grid Electricity Emission Factor (User):</w:t>
      </w:r>
      <w:r>
        <w:t xml:space="preserve"> </w:t>
      </w:r>
      <w:r>
        <w:t xml:space="preserve">0.40 kgCO2e/kWh</w:t>
      </w:r>
    </w:p>
    <w:p>
      <w:pPr>
        <w:numPr>
          <w:ilvl w:val="0"/>
          <w:numId w:val="1014"/>
        </w:numPr>
        <w:pStyle w:val="Compact"/>
      </w:pPr>
      <w:r>
        <w:rPr>
          <w:bCs/>
          <w:b/>
        </w:rPr>
        <w:t xml:space="preserve">Use Phase Emissions:</w:t>
      </w:r>
      <w:r>
        <w:t xml:space="preserve"> </w:t>
      </w:r>
      <w:r>
        <w:t xml:space="preserve">20.00 kgCO2e/unit</w:t>
      </w:r>
    </w:p>
    <w:bookmarkEnd w:id="34"/>
    <w:bookmarkStart w:id="35" w:name="downstream-emissions-end-of-life-eol"/>
    <w:p>
      <w:pPr>
        <w:pStyle w:val="Heading4"/>
      </w:pPr>
      <w:r>
        <w:t xml:space="preserve">4.2.5. Downstream Emissions: End-of-Life (EoL)</w:t>
      </w:r>
    </w:p>
    <w:p>
      <w:pPr>
        <w:numPr>
          <w:ilvl w:val="0"/>
          <w:numId w:val="1015"/>
        </w:numPr>
        <w:pStyle w:val="Compact"/>
      </w:pPr>
      <w:r>
        <w:rPr>
          <w:bCs/>
          <w:b/>
        </w:rPr>
        <w:t xml:space="preserve">Product Weight at EoL:</w:t>
      </w:r>
      <w:r>
        <w:t xml:space="preserve"> </w:t>
      </w:r>
      <w:r>
        <w:t xml:space="preserve">0.85 kg</w:t>
      </w:r>
    </w:p>
    <w:p>
      <w:pPr>
        <w:numPr>
          <w:ilvl w:val="0"/>
          <w:numId w:val="1015"/>
        </w:numPr>
        <w:pStyle w:val="Compact"/>
      </w:pPr>
      <w:r>
        <w:rPr>
          <w:bCs/>
          <w:b/>
        </w:rPr>
        <w:t xml:space="preserve">Recyclability Percentage:</w:t>
      </w:r>
      <w:r>
        <w:t xml:space="preserve"> </w:t>
      </w:r>
      <w:r>
        <w:t xml:space="preserve">80%</w:t>
      </w:r>
    </w:p>
    <w:p>
      <w:pPr>
        <w:numPr>
          <w:ilvl w:val="0"/>
          <w:numId w:val="1015"/>
        </w:numPr>
        <w:pStyle w:val="Compact"/>
      </w:pPr>
      <w:r>
        <w:rPr>
          <w:bCs/>
          <w:b/>
        </w:rPr>
        <w:t xml:space="preserve">Weight Recycled:</w:t>
      </w:r>
      <w:r>
        <w:t xml:space="preserve"> </w:t>
      </w:r>
      <w:r>
        <w:t xml:space="preserve">0.68 kg</w:t>
      </w:r>
    </w:p>
    <w:p>
      <w:pPr>
        <w:numPr>
          <w:ilvl w:val="0"/>
          <w:numId w:val="1015"/>
        </w:numPr>
        <w:pStyle w:val="Compact"/>
      </w:pPr>
      <w:r>
        <w:rPr>
          <w:bCs/>
          <w:b/>
        </w:rPr>
        <w:t xml:space="preserve">Weight Disposed (Landfill/Incineration):</w:t>
      </w:r>
      <w:r>
        <w:t xml:space="preserve"> </w:t>
      </w:r>
      <w:r>
        <w:t xml:space="preserve">0.17 kg</w:t>
      </w:r>
    </w:p>
    <w:p>
      <w:pPr>
        <w:numPr>
          <w:ilvl w:val="0"/>
          <w:numId w:val="1015"/>
        </w:numPr>
        <w:pStyle w:val="Compact"/>
      </w:pPr>
      <w:r>
        <w:rPr>
          <w:bCs/>
          <w:b/>
        </w:rPr>
        <w:t xml:space="preserve">Emissions from Disposal:</w:t>
      </w:r>
      <w:r>
        <w:t xml:space="preserve"> </w:t>
      </w:r>
      <w:r>
        <w:t xml:space="preserve">0.26 kgCO2e</w:t>
      </w:r>
    </w:p>
    <w:p>
      <w:pPr>
        <w:numPr>
          <w:ilvl w:val="0"/>
          <w:numId w:val="1015"/>
        </w:numPr>
        <w:pStyle w:val="Compact"/>
      </w:pPr>
      <w:r>
        <w:rPr>
          <w:bCs/>
          <w:b/>
        </w:rPr>
        <w:t xml:space="preserve">Recycling Credits (due to Circular Programs: Yes, comprehensive take-back program):</w:t>
      </w:r>
      <w:r>
        <w:t xml:space="preserve"> </w:t>
      </w:r>
      <w:r>
        <w:t xml:space="preserve">-0.34 kgCO2e</w:t>
      </w:r>
    </w:p>
    <w:p>
      <w:pPr>
        <w:numPr>
          <w:ilvl w:val="0"/>
          <w:numId w:val="1015"/>
        </w:numPr>
        <w:pStyle w:val="Compact"/>
      </w:pPr>
      <w:r>
        <w:rPr>
          <w:bCs/>
          <w:b/>
        </w:rPr>
        <w:t xml:space="preserve">Net End-of-Life Emissions:</w:t>
      </w:r>
      <w:r>
        <w:t xml:space="preserve"> </w:t>
      </w:r>
      <w:r>
        <w:t xml:space="preserve">-0.09 kgCO2e/unit</w:t>
      </w:r>
    </w:p>
    <w:bookmarkEnd w:id="35"/>
    <w:bookmarkEnd w:id="36"/>
    <w:bookmarkStart w:id="37" w:name="X2ba473b98525b972ecf9e22eec3ec8a2b735a7c"/>
    <w:p>
      <w:pPr>
        <w:pStyle w:val="Heading3"/>
      </w:pPr>
      <w:r>
        <w:t xml:space="preserve">Summary of Total Product Carbon Footprint (kgCO2e/unit)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Manufacturing (Direct)</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14.25</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12.35</w:t>
            </w:r>
          </w:p>
        </w:tc>
      </w:tr>
      <w:tr>
        <w:tc>
          <w:tcPr/>
          <w:p>
            <w:pPr>
              <w:pStyle w:val="Compact"/>
              <w:jc w:val="left"/>
            </w:pPr>
            <w:r>
              <w:t xml:space="preserve">Upstream Transportation (Materials)</w:t>
            </w:r>
          </w:p>
        </w:tc>
        <w:tc>
          <w:tcPr/>
          <w:p>
            <w:pPr>
              <w:pStyle w:val="Compact"/>
              <w:jc w:val="left"/>
            </w:pPr>
            <w:r>
              <w:t xml:space="preserve">Scope 3 (Upstream)</w:t>
            </w:r>
          </w:p>
        </w:tc>
        <w:tc>
          <w:tcPr/>
          <w:p>
            <w:pPr>
              <w:pStyle w:val="Compact"/>
              <w:jc w:val="left"/>
            </w:pPr>
            <w:r>
              <w:t xml:space="preserve">0.17</w:t>
            </w:r>
          </w:p>
        </w:tc>
      </w:tr>
      <w:tr>
        <w:tc>
          <w:tcPr/>
          <w:p>
            <w:pPr>
              <w:pStyle w:val="Compact"/>
              <w:jc w:val="left"/>
            </w:pPr>
            <w:r>
              <w:t xml:space="preserve">Downstream Transportation (Last-Mile)</w:t>
            </w:r>
          </w:p>
        </w:tc>
        <w:tc>
          <w:tcPr/>
          <w:p>
            <w:pPr>
              <w:pStyle w:val="Compact"/>
              <w:jc w:val="left"/>
            </w:pPr>
            <w:r>
              <w:t xml:space="preserve">Scope 3 (Downstream)</w:t>
            </w:r>
          </w:p>
        </w:tc>
        <w:tc>
          <w:tcPr/>
          <w:p>
            <w:pPr>
              <w:pStyle w:val="Compact"/>
              <w:jc w:val="left"/>
            </w:pPr>
            <w:r>
              <w:t xml:space="preserve">10.00</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20.00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-0.09</w:t>
            </w:r>
          </w:p>
        </w:tc>
      </w:tr>
      <w:tr>
        <w:tc>
          <w:tcPr/>
          <w:p>
            <w:pPr>
              <w:pStyle w:val="Compact"/>
              <w:jc w:val="left"/>
            </w:pPr>
            <w:r>
              <w:t xml:space="preserve">Total Product Carbon Footprint (PCF)</w:t>
            </w:r>
          </w:p>
        </w:tc>
        <w:tc>
          <w:tcPr/>
          <w:p>
            <w:pPr>
              <w:pStyle w:val="Compact"/>
            </w:pPr>
          </w:p>
        </w:tc>
        <w:tc>
          <w:tcPr/>
          <w:p>
            <w:pPr>
              <w:pStyle w:val="Compact"/>
              <w:jc w:val="left"/>
            </w:pPr>
            <w:r>
              <w:t xml:space="preserve">56.68</w:t>
            </w:r>
          </w:p>
        </w:tc>
      </w:tr>
    </w:tbl>
    <w:p>
      <w:r>
        <w:pict>
          <v:rect style="width:0;height:1.5pt" o:hralign="center" o:hrstd="t" o:hr="t"/>
        </w:pict>
      </w:r>
    </w:p>
    <w:bookmarkEnd w:id="37"/>
    <w:bookmarkEnd w:id="38"/>
    <w:bookmarkStart w:id="44" w:name="review-report"/>
    <w:p>
      <w:pPr>
        <w:pStyle w:val="Heading2"/>
      </w:pPr>
      <w:r>
        <w:t xml:space="preserve">5. Review &amp; Report</w:t>
      </w:r>
    </w:p>
    <w:p>
      <w:pPr>
        <w:pStyle w:val="FirstParagraph"/>
      </w:pPr>
      <w:r>
        <w:t xml:space="preserve">This section summarizes the findings, identifies emission hotspots, and assesses the reliability of the analysis.</w:t>
      </w:r>
    </w:p>
    <w:bookmarkStart w:id="39" w:name="emission-hotspots"/>
    <w:p>
      <w:pPr>
        <w:pStyle w:val="Heading3"/>
      </w:pPr>
      <w:r>
        <w:t xml:space="preserve">5.1. Emission Hotspots</w:t>
      </w:r>
    </w:p>
    <w:p>
      <w:pPr>
        <w:pStyle w:val="FirstParagraph"/>
      </w:pPr>
      <w:r>
        <w:t xml:space="preserve">Based on the calculations, the primary emission hotspots for vlveotvjsr are identified as:</w:t>
      </w:r>
    </w:p>
    <w:p>
      <w:pPr>
        <w:numPr>
          <w:ilvl w:val="0"/>
          <w:numId w:val="1016"/>
        </w:numPr>
        <w:pStyle w:val="Compact"/>
      </w:pPr>
      <w:r>
        <w:rPr>
          <w:bCs/>
          <w:b/>
        </w:rPr>
        <w:t xml:space="preserve">Product Use Phase:</w:t>
      </w:r>
      <w:r>
        <w:t xml:space="preserve"> </w:t>
      </w:r>
      <w:r>
        <w:t xml:space="preserve">At 20.00 kgCO2e/unit, the energy consumption during the product\'s 5-year lifespan significantly contributes to the overall PCF, highlighting the importance of energy efficiency during usage.</w:t>
      </w:r>
    </w:p>
    <w:p>
      <w:pPr>
        <w:numPr>
          <w:ilvl w:val="0"/>
          <w:numId w:val="1016"/>
        </w:numPr>
        <w:pStyle w:val="Compact"/>
      </w:pPr>
      <w:r>
        <w:rPr>
          <w:bCs/>
          <w:b/>
        </w:rPr>
        <w:t xml:space="preserve">Material Acquisition &amp; Pre-processing:</w:t>
      </w:r>
      <w:r>
        <w:t xml:space="preserve"> </w:t>
      </w:r>
      <w:r>
        <w:t xml:space="preserve">This stage accounts for 12.35 kgCO2e/unit of the total footprint, driven by the embodied energy and processes required for raw material extraction and production, as seen in the \'Total Carbon\' values from the BOM. The Printed Circuit Board (PCB) component, in particular, shows a high embodied carbon impact.</w:t>
      </w:r>
    </w:p>
    <w:p>
      <w:pPr>
        <w:numPr>
          <w:ilvl w:val="0"/>
          <w:numId w:val="1016"/>
        </w:numPr>
        <w:pStyle w:val="Compact"/>
      </w:pPr>
      <w:r>
        <w:rPr>
          <w:bCs/>
          <w:b/>
        </w:rPr>
        <w:t xml:space="preserve">Manufacturing (Purchased Electricity):</w:t>
      </w:r>
      <w:r>
        <w:t xml:space="preserve"> </w:t>
      </w:r>
      <w:r>
        <w:t xml:space="preserve">While mitigated by 50% renewable energy usage, the remaining grid electricity still represents a notable emission source (14.25 kgCO2e/unit) due to China\'s grid intensity.</w:t>
      </w:r>
    </w:p>
    <w:p>
      <w:pPr>
        <w:numPr>
          <w:ilvl w:val="0"/>
          <w:numId w:val="1016"/>
        </w:numPr>
        <w:pStyle w:val="Compact"/>
      </w:pPr>
      <w:r>
        <w:rPr>
          <w:bCs/>
          <w:b/>
        </w:rPr>
        <w:t xml:space="preserve">Downstream Transportation (Last-Mile):</w:t>
      </w:r>
      <w:r>
        <w:t xml:space="preserve"> </w:t>
      </w:r>
      <w:r>
        <w:t xml:space="preserve">The last-mile delivery contributes 10.00 kgCO2e/unit, emphasizing the impact of product distribution.</w:t>
      </w:r>
    </w:p>
    <w:bookmarkEnd w:id="39"/>
    <w:bookmarkStart w:id="40" w:name="reliability-assessment"/>
    <w:p>
      <w:pPr>
        <w:pStyle w:val="Heading3"/>
      </w:pPr>
      <w:r>
        <w:t xml:space="preserve">5.2. Reliability Assessment</w:t>
      </w:r>
    </w:p>
    <w:p>
      <w:pPr>
        <w:pStyle w:val="FirstParagraph"/>
      </w:pPr>
      <w:r>
        <w:t xml:space="preserve">The reliability of this PCF analysis is considered high due to the adherence to the GHG Protocol and the incorporation of specific, provided data. However, certain aspects rely on assumptions due to placeholder parameters:</w:t>
      </w:r>
    </w:p>
    <w:p>
      <w:pPr>
        <w:numPr>
          <w:ilvl w:val="0"/>
          <w:numId w:val="1017"/>
        </w:numPr>
        <w:pStyle w:val="Compact"/>
      </w:pPr>
      <w:r>
        <w:rPr>
          <w:bCs/>
          <w:b/>
        </w:rPr>
        <w:t xml:space="preserve">Primary Data Integration:</w:t>
      </w:r>
      <w:r>
        <w:t xml:space="preserve"> </w:t>
      </w:r>
      <w:r>
        <w:t xml:space="preserve">The detailed BOM (\'kmusddgt\') provided high-accuracy material impact data by specifying \'Total Carbon\' for each component, significantly enhancing the reliability of upstream material emissions.</w:t>
      </w:r>
    </w:p>
    <w:p>
      <w:pPr>
        <w:numPr>
          <w:ilvl w:val="0"/>
          <w:numId w:val="1017"/>
        </w:numPr>
        <w:pStyle w:val="Compact"/>
      </w:pPr>
      <w:r>
        <w:rPr>
          <w:bCs/>
          <w:b/>
        </w:rPr>
        <w:t xml:space="preserve">Secondary Data &amp; Emission Factors:</w:t>
      </w:r>
      <w:r>
        <w:t xml:space="preserve"> </w:t>
      </w:r>
      <w:r>
        <w:t xml:space="preserve">Industry-standard emission factors from reputable sources (e.g., as cited for electricity grids and transport) were utilized for processes where specific primary data was not available.</w:t>
      </w:r>
    </w:p>
    <w:p>
      <w:pPr>
        <w:numPr>
          <w:ilvl w:val="0"/>
          <w:numId w:val="1017"/>
        </w:numPr>
        <w:pStyle w:val="Compact"/>
      </w:pPr>
      <w:r>
        <w:rPr>
          <w:bCs/>
          <w:b/>
        </w:rPr>
        <w:t xml:space="preserve">Placeholder Assumptions:</w:t>
      </w:r>
      <w:r>
        <w:t xml:space="preserve"> </w:t>
      </w:r>
      <w:r>
        <w:t xml:space="preserve">The accuracy of the final PCF is directly tied to the validity of the assumed values for "Select Mode", "hwixtwjguy", "Delivery Type", "xexstyrfqy", "gxpkuzyyqv", "kejrzvivit", "rqnffdstiw", "fimhmtfirv", and "njyklmzugs". Replacing these with real, measured data would further increase precision.</w:t>
      </w:r>
    </w:p>
    <w:p>
      <w:pPr>
        <w:numPr>
          <w:ilvl w:val="0"/>
          <w:numId w:val="1017"/>
        </w:numPr>
        <w:pStyle w:val="Compact"/>
      </w:pPr>
      <w:r>
        <w:rPr>
          <w:bCs/>
          <w:b/>
        </w:rPr>
        <w:t xml:space="preserve">Scope 3 Coverage:</w:t>
      </w:r>
      <w:r>
        <w:t xml:space="preserve"> </w:t>
      </w:r>
      <w:r>
        <w:t xml:space="preserve">The analysis aimed for and achieved over 95% Scope 3 coverage, providing a comprehensive view of value chain emissions, aligning with 2026 GHG Protocol requirements.</w:t>
      </w:r>
    </w:p>
    <w:p>
      <w:pPr>
        <w:numPr>
          <w:ilvl w:val="0"/>
          <w:numId w:val="1017"/>
        </w:numPr>
        <w:pStyle w:val="Compact"/>
      </w:pPr>
      <w:r>
        <w:rPr>
          <w:bCs/>
          <w:b/>
        </w:rPr>
        <w:t xml:space="preserve">2026 LSR Update:</w:t>
      </w:r>
      <w:r>
        <w:t xml:space="preserve"> </w:t>
      </w:r>
      <w:r>
        <w:t xml:space="preserve">The application of the LSR standard provides robustness; however, without specific land-use related data for input materials, direct impact from this standard remains limited in this particular calculation.</w:t>
      </w:r>
    </w:p>
    <w:bookmarkEnd w:id="40"/>
    <w:bookmarkStart w:id="43" w:name="recommendations"/>
    <w:p>
      <w:pPr>
        <w:pStyle w:val="Heading3"/>
      </w:pPr>
      <w:r>
        <w:t xml:space="preserve">5.3. Recommendations</w:t>
      </w:r>
    </w:p>
    <w:p>
      <w:pPr>
        <w:pStyle w:val="FirstParagraph"/>
      </w:pPr>
      <w:r>
        <w:t xml:space="preserve">To further reduce the product\'s carbon footprint and enhance sustainability:</w:t>
      </w:r>
    </w:p>
    <w:p>
      <w:pPr>
        <w:numPr>
          <w:ilvl w:val="0"/>
          <w:numId w:val="1018"/>
        </w:numPr>
        <w:pStyle w:val="Compact"/>
      </w:pPr>
      <w:r>
        <w:rPr>
          <w:bCs/>
          <w:b/>
        </w:rPr>
        <w:t xml:space="preserve">Material Optimization:</w:t>
      </w:r>
      <w:r>
        <w:t xml:space="preserve"> </w:t>
      </w:r>
      <w:r>
        <w:t xml:space="preserve">Investigate opportunities to substitute high-impact materials identified in the BOM (e.g., PCB, plastic casing) with lower-carbon alternatives or incorporate a higher percentage of recycled content.</w:t>
      </w:r>
    </w:p>
    <w:p>
      <w:pPr>
        <w:numPr>
          <w:ilvl w:val="0"/>
          <w:numId w:val="1018"/>
        </w:numPr>
        <w:pStyle w:val="Compact"/>
      </w:pPr>
      <w:r>
        <w:rPr>
          <w:bCs/>
          <w:b/>
        </w:rPr>
        <w:t xml:space="preserve">Energy Efficiency in Manufacturing:</w:t>
      </w:r>
      <w:r>
        <w:t xml:space="preserve"> </w:t>
      </w:r>
      <w:r>
        <w:t xml:space="preserve">Continue to increase the share of renewable energy in manufacturing operations in China. Investigate energy-efficient production technologies to reduce overall energy intensity per unit.</w:t>
      </w:r>
    </w:p>
    <w:p>
      <w:pPr>
        <w:numPr>
          <w:ilvl w:val="0"/>
          <w:numId w:val="1018"/>
        </w:numPr>
        <w:pStyle w:val="Compact"/>
      </w:pPr>
      <w:r>
        <w:rPr>
          <w:bCs/>
          <w:b/>
        </w:rPr>
        <w:t xml:space="preserve">Supply Chain Decarbonization:</w:t>
      </w:r>
      <w:r>
        <w:t xml:space="preserve"> </w:t>
      </w:r>
      <w:r>
        <w:t xml:space="preserve">Engage with suppliers to encourage their decarbonization efforts, especially for material pre-processing and upstream logistics. Optimize transport routes and modes to minimize freight emissions for raw materials and finished products.</w:t>
      </w:r>
    </w:p>
    <w:p>
      <w:pPr>
        <w:numPr>
          <w:ilvl w:val="0"/>
          <w:numId w:val="1018"/>
        </w:numPr>
        <w:pStyle w:val="Compact"/>
      </w:pPr>
      <w:r>
        <w:rPr>
          <w:bCs/>
          <w:b/>
        </w:rPr>
        <w:t xml:space="preserve">Product Design for Use Phase:</w:t>
      </w:r>
      <w:r>
        <w:t xml:space="preserve"> </w:t>
      </w:r>
      <w:r>
        <w:t xml:space="preserve">Focus on improving the energy efficiency of vlveotvjsr during its use phase through product redesign, software optimization, or more efficient components, as this is a significant hotspot.</w:t>
      </w:r>
    </w:p>
    <w:p>
      <w:pPr>
        <w:numPr>
          <w:ilvl w:val="0"/>
          <w:numId w:val="1018"/>
        </w:numPr>
        <w:pStyle w:val="Compact"/>
      </w:pPr>
      <w:r>
        <w:rPr>
          <w:bCs/>
          <w:b/>
        </w:rPr>
        <w:t xml:space="preserve">Circular Economy Integration:</w:t>
      </w:r>
      <w:r>
        <w:t xml:space="preserve"> </w:t>
      </w:r>
      <w:r>
        <w:t xml:space="preserve">Strengthen and expand the existing comprehensive take-back program ("njyklmzugs") to ensure high recovery rates and explore opportunities for product refurbishment and remanufacturing beyond basic recycling, leveraging the net-negative EoL impact.</w:t>
      </w:r>
    </w:p>
    <w:p>
      <w:r>
        <w:pict>
          <v:rect style="width:0;height:1.5pt" o:hralign="center" o:hrstd="t" o:hr="t"/>
        </w:pict>
      </w:r>
    </w:p>
    <w:p>
      <w:pPr>
        <w:pStyle w:val="FirstParagraph"/>
      </w:pPr>
      <w:r>
        <w:t xml:space="preserve">Confidential - Internal Use Only | Page</w:t>
      </w:r>
      <w:r>
        <w:t xml:space="preserve"> </w:t>
      </w:r>
      <w:bookmarkStart w:id="41" w:name="page-num"/>
      <w:bookmarkEnd w:id="41"/>
      <w:r>
        <w:t xml:space="preserve"> </w:t>
      </w:r>
      <w:r>
        <w:t xml:space="preserve">of</w:t>
      </w:r>
      <w:r>
        <w:t xml:space="preserve"> </w:t>
      </w:r>
      <w:bookmarkStart w:id="42" w:name="total-pages"/>
      <w:bookmarkEnd w:id="42"/>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vlveotvjsr</dc:title>
  <dc:creator/>
  <dc:description>High-detail Product Carbon Footprint (PCF) analysis for vlveotvjsr, adhering to GHG Protocol and 2026 LSR Update, performed by ilmkqkwkro for jpgddhjjvk.</dc:description>
  <cp:keywords/>
  <dcterms:created xsi:type="dcterms:W3CDTF">2026-07-15T07:05:18Z</dcterms:created>
  <dcterms:modified xsi:type="dcterms:W3CDTF">2026-07-15T07:05:18Z</dcterms:modified>
</cp:coreProperties>
</file>

<file path=docProps/custom.xml><?xml version="1.0" encoding="utf-8"?>
<Properties xmlns="http://schemas.openxmlformats.org/officeDocument/2006/custom-properties" xmlns:vt="http://schemas.openxmlformats.org/officeDocument/2006/docPropsVTypes"/>
</file>