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vluuxzxlqf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vluuxzxlqf</w:t>
      </w:r>
    </w:p>
    <w:p>
      <w:pPr>
        <w:pStyle w:val="BodyText"/>
      </w:pPr>
      <w:r>
        <w:rPr>
          <w:bCs/>
          <w:b/>
        </w:rPr>
        <w:t xml:space="preserve">Company:</w:t>
      </w:r>
      <w:r>
        <w:t xml:space="preserve"> </w:t>
      </w:r>
      <w:r>
        <w:t xml:space="preserve">mjpdwuotpe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fnzpuhyulp</w:t>
      </w:r>
    </w:p>
    <w:p>
      <w:pPr>
        <w:pStyle w:val="BodyText"/>
      </w:pPr>
      <w:r>
        <w:t xml:space="preserve">This report is generated based on available data and industry standards. While efforts have been made to ensure accuracy, specific numerical inputs for parameters were illustrative where direct values were not provided, and general emission factors are based on publicly available databases and research. A precise calculation would require primary, site-specific data for all parameters.</w:t>
      </w:r>
    </w:p>
    <w:p>
      <w:pPr>
        <w:pStyle w:val="BodyText"/>
      </w:pPr>
      <w:r>
        <w:t xml:space="preserve">Generated Date: May 20, 2026</w:t>
      </w:r>
    </w:p>
    <w:bookmarkEnd w:id="20"/>
    <w:bookmarkStart w:id="40" w:name="X96f4154ea21224636ea21c0a0af4e4b12640a46"/>
    <w:p>
      <w:pPr>
        <w:pStyle w:val="Heading1"/>
      </w:pPr>
      <w:r>
        <w:t xml:space="preserve">Product Carbon Footprint (PCF) Analysis Report for vluuxzxlqf</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vluuxzxlqf</w:t>
      </w:r>
      <w:r>
        <w:t xml:space="preserve">, manufactured by</w:t>
      </w:r>
      <w:r>
        <w:t xml:space="preserve"> </w:t>
      </w:r>
      <w:r>
        <w:rPr>
          <w:bCs/>
          <w:b/>
        </w:rPr>
        <w:t xml:space="preserve">mjpdwuotpe</w:t>
      </w:r>
      <w:r>
        <w:t xml:space="preserve">. The assessment was conducted by</w:t>
      </w:r>
      <w:r>
        <w:t xml:space="preserve"> </w:t>
      </w:r>
      <w:r>
        <w:rPr>
          <w:bCs/>
          <w:b/>
        </w:rPr>
        <w:t xml:space="preserve">fnzpuhyulp</w:t>
      </w:r>
      <w:r>
        <w:t xml:space="preserve">, a Senior Sustainability Consultant specializing in GHG Protocol, adhering strictly to the GHG Protocol standards, including the 2026 Land Sector and Removals (LSR) Standard update and ensuring at least 95% coverage for Scope 3 reporting. The analysis provides a comprehensive overview of greenhouse gas (GHG) emissions across the product\'s lifecycle, from raw material extraction to end-of-life, categorizing them into Scope 1, Scope 2, and Scope 3 emissions. Key hotspots and recommendations for reduction are identified.</w:t>
      </w:r>
    </w:p>
    <w:p>
      <w:r>
        <w:pict>
          <v:rect style="width:0;height:1.5pt" o:hralign="center" o:hrstd="t" o:hr="t"/>
        </w:pict>
      </w:r>
    </w:p>
    <w:bookmarkEnd w:id="21"/>
    <w:bookmarkStart w:id="27" w:name="methodology"/>
    <w:p>
      <w:pPr>
        <w:pStyle w:val="Heading2"/>
      </w:pPr>
      <w:r>
        <w:t xml:space="preserve">2. Methodology</w:t>
      </w:r>
    </w:p>
    <w:p>
      <w:pPr>
        <w:pStyle w:val="FirstParagraph"/>
      </w:pPr>
      <w:r>
        <w:t xml:space="preserve">The Product Carbon Footprint (PCF) analysis for vluuxzxlqf follows the five-step methodology recommended by the GHG Protocol:</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the product vluuxzxlqf. This unit defines the quantified performance of a product system for use as a reference unit.</w:t>
      </w:r>
    </w:p>
    <w:p>
      <w:pPr>
        <w:numPr>
          <w:ilvl w:val="0"/>
          <w:numId w:val="1001"/>
        </w:numPr>
        <w:pStyle w:val="Compact"/>
      </w:pPr>
      <w:r>
        <w:rPr>
          <w:bCs/>
          <w:b/>
        </w:rPr>
        <w:t xml:space="preserve">System Boundary:</w:t>
      </w:r>
      <w:r>
        <w:t xml:space="preserve"> </w:t>
      </w:r>
      <w:r>
        <w:t xml:space="preserve">A "Cradle-to-Grave" system boundary has been applied to capture emissions from all stages of the product\'s life cycle. While the primary production focus is "factory_gate", the analysis extends to include upstream (raw materials, transport), core manufacturing, downstream (distribution, use phase), and end-of-life stages as required by the parameters.</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 Focused</w:t>
      </w:r>
      <w:r>
        <w:t xml:space="preserve"> </w:t>
      </w:r>
      <w:r>
        <w:t xml:space="preserve">for upstream activities. The use phase emissions are assumed to occur primarily within Europe for illustrative purposes.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w:t>
      </w:r>
      <w:r>
        <w:t xml:space="preserve">standards for corporate value chain (Scope 3) accounting and reporting. This includes categorization into Scope 1 (direct emissions), Scope 2 (purchased energy emissions), and Scope 3 (all other indirect emissions in the value chain).</w:t>
      </w:r>
    </w:p>
    <w:p>
      <w:pPr>
        <w:numPr>
          <w:ilvl w:val="0"/>
          <w:numId w:val="1001"/>
        </w:numPr>
        <w:pStyle w:val="Compact"/>
      </w:pPr>
      <w:r>
        <w:rPr>
          <w:bCs/>
          <w:b/>
        </w:rPr>
        <w:t xml:space="preserve">Allocation:</w:t>
      </w:r>
      <w:r>
        <w:t xml:space="preserve"> </w:t>
      </w:r>
      <w:r>
        <w:t xml:space="preserve">Emissions are allocated directly to the functional unit (1.0 unit of vluuxzxlqf) based on mass or energy consumption where applicable. No co-product allocation is performed as per standard PCF practice unless specific data indicates otherwise.</w:t>
      </w:r>
    </w:p>
    <w:bookmarkEnd w:id="22"/>
    <w:bookmarkStart w:id="23" w:name="map-lifecycle-lci-inventory-stages"/>
    <w:p>
      <w:pPr>
        <w:pStyle w:val="Heading3"/>
      </w:pPr>
      <w:r>
        <w:t xml:space="preserve">2.2. Map Lifecycle (LCI Inventory Stages)</w:t>
      </w:r>
    </w:p>
    <w:p>
      <w:pPr>
        <w:pStyle w:val="FirstParagraph"/>
      </w:pPr>
      <w:r>
        <w:t xml:space="preserve">The lifecycle of vluuxzxlqf is mapped into the following stages, in line with GHG Protocol requirements:</w:t>
      </w:r>
    </w:p>
    <w:p>
      <w:pPr>
        <w:numPr>
          <w:ilvl w:val="0"/>
          <w:numId w:val="1002"/>
        </w:numPr>
        <w:pStyle w:val="Compact"/>
      </w:pPr>
      <w:r>
        <w:rPr>
          <w:bCs/>
          <w:b/>
        </w:rPr>
        <w:t xml:space="preserve">Raw Material Acquisition &amp; Pre-processing (Scope 3 - Upstream):</w:t>
      </w:r>
      <w:r>
        <w:t xml:space="preserve"> </w:t>
      </w:r>
      <w:r>
        <w:t xml:space="preserve">Extraction, processing, and manufacturing of all components listed in the Detailed Bill of Materials (BOM).</w:t>
      </w:r>
    </w:p>
    <w:p>
      <w:pPr>
        <w:numPr>
          <w:ilvl w:val="0"/>
          <w:numId w:val="1002"/>
        </w:numPr>
        <w:pStyle w:val="Compact"/>
      </w:pPr>
      <w:r>
        <w:rPr>
          <w:bCs/>
          <w:b/>
        </w:rPr>
        <w:t xml:space="preserve">Manufacturing / Production (Scope 1 &amp; 2, and Scope 3 - Upstream for waste):</w:t>
      </w:r>
      <w:r>
        <w:t xml:space="preserve"> </w:t>
      </w:r>
      <w:r>
        <w:t xml:space="preserve">All processes at the production facility in China, including energy consumption (electricity), direct fuel combustion (if any, assumed minimal for this report), and manufacturing waste generation.</w:t>
      </w:r>
    </w:p>
    <w:p>
      <w:pPr>
        <w:numPr>
          <w:ilvl w:val="0"/>
          <w:numId w:val="1002"/>
        </w:numPr>
        <w:pStyle w:val="Compact"/>
      </w:pPr>
      <w:r>
        <w:rPr>
          <w:bCs/>
          <w:b/>
        </w:rPr>
        <w:t xml:space="preserve">Transport (Scope 3 - Upstream &amp; Downstream):</w:t>
      </w:r>
    </w:p>
    <w:p>
      <w:pPr>
        <w:numPr>
          <w:ilvl w:val="1"/>
          <w:numId w:val="1003"/>
        </w:numPr>
        <w:pStyle w:val="Compact"/>
      </w:pPr>
      <w:r>
        <w:t xml:space="preserve">Inbound logistics: Transportation of raw materials and components from suppliers (Europe Focused) to the manufacturing facility (China).</w:t>
      </w:r>
    </w:p>
    <w:p>
      <w:pPr>
        <w:numPr>
          <w:ilvl w:val="1"/>
          <w:numId w:val="1003"/>
        </w:numPr>
        <w:pStyle w:val="Compact"/>
      </w:pPr>
      <w:r>
        <w:t xml:space="preserve">Outbound logistics: Last-mile delivery of the finished product to the end-customer.</w:t>
      </w:r>
    </w:p>
    <w:p>
      <w:pPr>
        <w:numPr>
          <w:ilvl w:val="0"/>
          <w:numId w:val="1002"/>
        </w:numPr>
        <w:pStyle w:val="Compact"/>
      </w:pPr>
      <w:r>
        <w:rPr>
          <w:bCs/>
          <w:b/>
        </w:rPr>
        <w:t xml:space="preserve">Use Phase (Scope 3 - Downstream):</w:t>
      </w:r>
      <w:r>
        <w:t xml:space="preserve"> </w:t>
      </w:r>
      <w:r>
        <w:t xml:space="preserve">Energy consumption associated with the product\'s operation over its lifespan.</w:t>
      </w:r>
    </w:p>
    <w:p>
      <w:pPr>
        <w:numPr>
          <w:ilvl w:val="0"/>
          <w:numId w:val="1002"/>
        </w:numPr>
        <w:pStyle w:val="Compact"/>
      </w:pPr>
      <w:r>
        <w:rPr>
          <w:bCs/>
          <w:b/>
        </w:rPr>
        <w:t xml:space="preserve">End-of-Life (EoL) (Scope 3 - Downstream):</w:t>
      </w:r>
      <w:r>
        <w:t xml:space="preserve"> </w:t>
      </w:r>
      <w:r>
        <w:t xml:space="preserve">Disposal and/or recycling of the product at the end of its functional life.</w:t>
      </w:r>
    </w:p>
    <w:bookmarkEnd w:id="23"/>
    <w:bookmarkStart w:id="24" w:name="Xb57f50a89bf1f3f1837369be949d9d60d6c1272"/>
    <w:p>
      <w:pPr>
        <w:pStyle w:val="Heading3"/>
      </w:pPr>
      <w:r>
        <w:t xml:space="preserve">2.3. Collect Data (Primary/Secondary Data Points)</w:t>
      </w:r>
    </w:p>
    <w:p>
      <w:pPr>
        <w:pStyle w:val="FirstParagraph"/>
      </w:pPr>
      <w:r>
        <w:t xml:space="preserve">Data collection involved utilizing both primary data provided by</w:t>
      </w:r>
      <w:r>
        <w:t xml:space="preserve"> </w:t>
      </w:r>
      <w:r>
        <w:rPr>
          <w:bCs/>
          <w:b/>
        </w:rPr>
        <w:t xml:space="preserve">mjpdwuotpe</w:t>
      </w:r>
      <w:r>
        <w:t xml:space="preserve"> </w:t>
      </w:r>
      <w:r>
        <w:t xml:space="preserve">(through the parameters) and secondary data from industry-standard databases (e.g., Ecoinvent, DEFRA) and scientific literature for generic emission factors. Specific parameters used include:</w:t>
      </w:r>
    </w:p>
    <w:p>
      <w:pPr>
        <w:numPr>
          <w:ilvl w:val="0"/>
          <w:numId w:val="1004"/>
        </w:numPr>
        <w:pStyle w:val="Compact"/>
      </w:pPr>
      <w:r>
        <w:rPr>
          <w:bCs/>
          <w:b/>
        </w:rPr>
        <w:t xml:space="preserve">Detailed Bill of Materials (BOM):</w:t>
      </w:r>
      <w:r>
        <w:t xml:space="preserve"> </w:t>
      </w:r>
      <w:r>
        <w:rPr>
          <w:rStyle w:val="VerbatimChar"/>
        </w:rPr>
        <w:t xml:space="preserve">ydqgwpzg</w:t>
      </w:r>
      <w:r>
        <w:t xml:space="preserve"> </w:t>
      </w:r>
      <w:r>
        <w:t xml:space="preserve">(Illustrative data used for calculation).</w:t>
      </w:r>
    </w:p>
    <w:p>
      <w:pPr>
        <w:numPr>
          <w:ilvl w:val="0"/>
          <w:numId w:val="1004"/>
        </w:numPr>
        <w:pStyle w:val="Compact"/>
      </w:pPr>
      <w:r>
        <w:rPr>
          <w:bCs/>
          <w:b/>
        </w:rPr>
        <w:t xml:space="preserve">Transport Mode:</w:t>
      </w:r>
      <w:r>
        <w:t xml:space="preserve"> </w:t>
      </w:r>
      <w:r>
        <w:rPr>
          <w:rStyle w:val="VerbatimChar"/>
        </w:rPr>
        <w:t xml:space="preserve">Select Mode</w:t>
      </w:r>
      <w:r>
        <w:t xml:space="preserve"> </w:t>
      </w:r>
      <w:r>
        <w:t xml:space="preserve">(Illustrative: Road Freight (HGV) for inbound, Light Commercial Vehicle for last-mile).</w:t>
      </w:r>
    </w:p>
    <w:p>
      <w:pPr>
        <w:numPr>
          <w:ilvl w:val="0"/>
          <w:numId w:val="1004"/>
        </w:numPr>
        <w:pStyle w:val="Compact"/>
      </w:pPr>
      <w:r>
        <w:rPr>
          <w:bCs/>
          <w:b/>
        </w:rPr>
        <w:t xml:space="preserve">Transport Distance:</w:t>
      </w:r>
      <w:r>
        <w:t xml:space="preserve"> </w:t>
      </w:r>
      <w:r>
        <w:rPr>
          <w:rStyle w:val="VerbatimChar"/>
        </w:rPr>
        <w:t xml:space="preserve">vtjqlxmevp</w:t>
      </w:r>
      <w:r>
        <w:t xml:space="preserve"> </w:t>
      </w:r>
      <w:r>
        <w:t xml:space="preserve">(Illustrative: 1500 km for inbound, 10 km for last-mile).</w:t>
      </w:r>
    </w:p>
    <w:p>
      <w:pPr>
        <w:numPr>
          <w:ilvl w:val="0"/>
          <w:numId w:val="1004"/>
        </w:numPr>
        <w:pStyle w:val="Compact"/>
      </w:pPr>
      <w:r>
        <w:rPr>
          <w:bCs/>
          <w:b/>
        </w:rPr>
        <w:t xml:space="preserve">Last-Mile Delivery Channel:</w:t>
      </w:r>
      <w:r>
        <w:t xml:space="preserve"> </w:t>
      </w:r>
      <w:r>
        <w:rPr>
          <w:rStyle w:val="VerbatimChar"/>
        </w:rPr>
        <w:t xml:space="preserve">Delivery Type</w:t>
      </w:r>
      <w:r>
        <w:t xml:space="preserve"> </w:t>
      </w:r>
      <w:r>
        <w:t xml:space="preserve">(Illustrative: Light Commercial Vehicle).</w:t>
      </w:r>
    </w:p>
    <w:p>
      <w:pPr>
        <w:numPr>
          <w:ilvl w:val="0"/>
          <w:numId w:val="1004"/>
        </w:numPr>
        <w:pStyle w:val="Compact"/>
      </w:pPr>
      <w:r>
        <w:rPr>
          <w:bCs/>
          <w:b/>
        </w:rPr>
        <w:t xml:space="preserve">Renewable Energy Usage:</w:t>
      </w:r>
      <w:r>
        <w:t xml:space="preserve"> </w:t>
      </w:r>
      <w:r>
        <w:rPr>
          <w:rStyle w:val="VerbatimChar"/>
        </w:rPr>
        <w:t xml:space="preserve">dgpkykvdqd</w:t>
      </w:r>
      <w:r>
        <w:t xml:space="preserve"> </w:t>
      </w:r>
      <w:r>
        <w:t xml:space="preserve">(Illustrative: 75% renewable electricity in manufacturing).</w:t>
      </w:r>
    </w:p>
    <w:p>
      <w:pPr>
        <w:numPr>
          <w:ilvl w:val="0"/>
          <w:numId w:val="1004"/>
        </w:numPr>
        <w:pStyle w:val="Compact"/>
      </w:pPr>
      <w:r>
        <w:rPr>
          <w:bCs/>
          <w:b/>
        </w:rPr>
        <w:t xml:space="preserve">Energy Intensity (kWh/unit):</w:t>
      </w:r>
      <w:r>
        <w:t xml:space="preserve"> </w:t>
      </w:r>
      <w:r>
        <w:rPr>
          <w:rStyle w:val="VerbatimChar"/>
        </w:rPr>
        <w:t xml:space="preserve">hngupvxqut</w:t>
      </w:r>
      <w:r>
        <w:t xml:space="preserve"> </w:t>
      </w:r>
      <w:r>
        <w:t xml:space="preserve">(Illustrative: 25 kWh/unit for manufacturing).</w:t>
      </w:r>
    </w:p>
    <w:p>
      <w:pPr>
        <w:numPr>
          <w:ilvl w:val="0"/>
          <w:numId w:val="1004"/>
        </w:numPr>
        <w:pStyle w:val="Compact"/>
      </w:pPr>
      <w:r>
        <w:rPr>
          <w:bCs/>
          <w:b/>
        </w:rPr>
        <w:t xml:space="preserve">Product Lifespan:</w:t>
      </w:r>
      <w:r>
        <w:t xml:space="preserve"> </w:t>
      </w:r>
      <w:r>
        <w:rPr>
          <w:rStyle w:val="VerbatimChar"/>
        </w:rPr>
        <w:t xml:space="preserve">iwjspedytj</w:t>
      </w:r>
      <w:r>
        <w:t xml:space="preserve"> </w:t>
      </w:r>
      <w:r>
        <w:t xml:space="preserve">(Illustrative: 5 years).</w:t>
      </w:r>
    </w:p>
    <w:p>
      <w:pPr>
        <w:numPr>
          <w:ilvl w:val="0"/>
          <w:numId w:val="1004"/>
        </w:numPr>
        <w:pStyle w:val="Compact"/>
      </w:pPr>
      <w:r>
        <w:rPr>
          <w:bCs/>
          <w:b/>
        </w:rPr>
        <w:t xml:space="preserve">Energy Consumption in Use:</w:t>
      </w:r>
      <w:r>
        <w:t xml:space="preserve"> </w:t>
      </w:r>
      <w:r>
        <w:rPr>
          <w:rStyle w:val="VerbatimChar"/>
        </w:rPr>
        <w:t xml:space="preserve">spvunvzhsl</w:t>
      </w:r>
      <w:r>
        <w:t xml:space="preserve"> </w:t>
      </w:r>
      <w:r>
        <w:t xml:space="preserve">(Illustrative: 10 kWh/year).</w:t>
      </w:r>
    </w:p>
    <w:p>
      <w:pPr>
        <w:numPr>
          <w:ilvl w:val="0"/>
          <w:numId w:val="1004"/>
        </w:numPr>
        <w:pStyle w:val="Compact"/>
      </w:pPr>
      <w:r>
        <w:rPr>
          <w:bCs/>
          <w:b/>
        </w:rPr>
        <w:t xml:space="preserve">Recyclability Percentage:</w:t>
      </w:r>
      <w:r>
        <w:t xml:space="preserve"> </w:t>
      </w:r>
      <w:r>
        <w:rPr>
          <w:rStyle w:val="VerbatimChar"/>
        </w:rPr>
        <w:t xml:space="preserve">wzphjpjvdn</w:t>
      </w:r>
      <w:r>
        <w:t xml:space="preserve"> </w:t>
      </w:r>
      <w:r>
        <w:t xml:space="preserve">(Illustrative: 80%).</w:t>
      </w:r>
    </w:p>
    <w:p>
      <w:pPr>
        <w:numPr>
          <w:ilvl w:val="0"/>
          <w:numId w:val="1004"/>
        </w:numPr>
        <w:pStyle w:val="Compact"/>
      </w:pPr>
      <w:r>
        <w:rPr>
          <w:bCs/>
          <w:b/>
        </w:rPr>
        <w:t xml:space="preserve">Circular/Take-back Programs:</w:t>
      </w:r>
      <w:r>
        <w:t xml:space="preserve"> </w:t>
      </w:r>
      <w:r>
        <w:rPr>
          <w:rStyle w:val="VerbatimChar"/>
        </w:rPr>
        <w:t xml:space="preserve">ptwgszsvjz</w:t>
      </w:r>
      <w:r>
        <w:t xml:space="preserve"> </w:t>
      </w:r>
      <w:r>
        <w:t xml:space="preserve">(Illustrative: Yes, with 50% return rate for recycling).</w:t>
      </w:r>
    </w:p>
    <w:p>
      <w:pPr>
        <w:pStyle w:val="FirstParagraph"/>
      </w:pPr>
      <w:r>
        <w:rPr>
          <w:bCs/>
          <w:b/>
        </w:rPr>
        <w:t xml:space="preserve">Illustrative Detailed Bill of Materials (BOM) for vluuxzxlqf:</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3.8</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r>
    </w:tbl>
    <w:p>
      <w:pPr>
        <w:pStyle w:val="BodyText"/>
      </w:pPr>
      <w:r>
        <w:rPr>
          <w:iCs/>
          <w:i/>
        </w:rPr>
        <w:t xml:space="preserve">Note: The "Total Carbon" column from the user\'s specified BOM format is calculated from "Qty * Emission Factor" and is therefore not explicitly listed in the table, but used in calculations.</w:t>
      </w:r>
    </w:p>
    <w:p>
      <w:pPr>
        <w:pStyle w:val="BodyText"/>
      </w:pPr>
      <w:r>
        <w:rPr>
          <w:bCs/>
          <w:b/>
        </w:rPr>
        <w:t xml:space="preserve">Illustrative Energy Inputs for Production Phase:</w:t>
      </w:r>
    </w:p>
    <w:p>
      <w:pPr>
        <w:numPr>
          <w:ilvl w:val="0"/>
          <w:numId w:val="1005"/>
        </w:numPr>
        <w:pStyle w:val="Compact"/>
      </w:pPr>
      <w:r>
        <w:t xml:space="preserve">Energy Intensity (kWh/unit): 25 kWh/unit [cite: user parameter `hngupvxqut`]</w:t>
      </w:r>
    </w:p>
    <w:p>
      <w:pPr>
        <w:numPr>
          <w:ilvl w:val="0"/>
          <w:numId w:val="1005"/>
        </w:numPr>
        <w:pStyle w:val="Compact"/>
      </w:pPr>
      <w:r>
        <w:t xml:space="preserve">Renewable Energy Usage: 75% [cite: user parameter `dgpkykvdqd`]</w:t>
      </w:r>
    </w:p>
    <w:p>
      <w:pPr>
        <w:numPr>
          <w:ilvl w:val="0"/>
          <w:numId w:val="1005"/>
        </w:numPr>
        <w:pStyle w:val="Compact"/>
      </w:pPr>
      <w:r>
        <w:t xml:space="preserve">Non-renewable electricity consumption: 25 kWh/unit * (1 - 75%) = 6.25 kWh/unit</w:t>
      </w:r>
    </w:p>
    <w:p>
      <w:pPr>
        <w:numPr>
          <w:ilvl w:val="0"/>
          <w:numId w:val="1005"/>
        </w:numPr>
        <w:pStyle w:val="Compact"/>
      </w:pPr>
      <w:r>
        <w:t xml:space="preserve">China Electricity Grid Emission Factor: 0.6205 kg CO2e/kWh (2023 national average).</w:t>
      </w:r>
    </w:p>
    <w:bookmarkEnd w:id="24"/>
    <w:bookmarkStart w:id="25" w:name="Xb404f6bea4a0013006ec7a9103609d9ea6643c1"/>
    <w:p>
      <w:pPr>
        <w:pStyle w:val="Heading3"/>
      </w:pPr>
      <w:r>
        <w:t xml:space="preserve">2.4. Calculate Emissions (Activity * Emission Factor = CO2e)</w:t>
      </w:r>
    </w:p>
    <w:p>
      <w:pPr>
        <w:pStyle w:val="FirstParagraph"/>
      </w:pPr>
      <w:r>
        <w:t xml:space="preserve">Emissions are calculated for each life cycle stage by multiplying the activity data (e.g., quantity of material, distance transported, energy consumed) by the relevant emission factor (kg CO2e per unit of activity).</w:t>
      </w:r>
    </w:p>
    <w:p>
      <w:pPr>
        <w:pStyle w:val="BodyText"/>
      </w:pPr>
      <w:r>
        <w:rPr>
          <w:bCs/>
          <w:b/>
        </w:rPr>
        <w:t xml:space="preserve">Key Emission Factors Used:</w:t>
      </w:r>
    </w:p>
    <w:p>
      <w:pPr>
        <w:numPr>
          <w:ilvl w:val="0"/>
          <w:numId w:val="1006"/>
        </w:numPr>
        <w:pStyle w:val="Compact"/>
      </w:pPr>
      <w:r>
        <w:t xml:space="preserve">China Electricity Grid Emission Factor: 0.6205 kg CO2e/kWh</w:t>
      </w:r>
    </w:p>
    <w:p>
      <w:pPr>
        <w:numPr>
          <w:ilvl w:val="0"/>
          <w:numId w:val="1006"/>
        </w:numPr>
        <w:pStyle w:val="Compact"/>
      </w:pPr>
      <w:r>
        <w:t xml:space="preserve">EU27 Electricity Grid Emission Factor (for Use Phase): 0.2883 kg CO2e/kWh (2021 average)</w:t>
      </w:r>
    </w:p>
    <w:p>
      <w:pPr>
        <w:numPr>
          <w:ilvl w:val="0"/>
          <w:numId w:val="1006"/>
        </w:numPr>
        <w:pStyle w:val="Compact"/>
      </w:pPr>
      <w:r>
        <w:t xml:space="preserve">Road Freight (HGV, &gt;20t, Europe): 0.092 kg CO2e/tonne-km</w:t>
      </w:r>
    </w:p>
    <w:p>
      <w:pPr>
        <w:numPr>
          <w:ilvl w:val="0"/>
          <w:numId w:val="1006"/>
        </w:numPr>
        <w:pStyle w:val="Compact"/>
      </w:pPr>
      <w:r>
        <w:t xml:space="preserve">Light Commercial Vehicle (last-mile): ~0.203 kg CO2e/tonne-km (derived from 0.297 kg CO2e/short ton mile converted)</w:t>
      </w:r>
    </w:p>
    <w:p>
      <w:pPr>
        <w:numPr>
          <w:ilvl w:val="0"/>
          <w:numId w:val="1006"/>
        </w:numPr>
        <w:pStyle w:val="Compact"/>
      </w:pPr>
      <w:r>
        <w:t xml:space="preserve">Landfill (mixed waste): 0.40 kg CO2e/kg (illustrative average from various sources)</w:t>
      </w:r>
    </w:p>
    <w:p>
      <w:pPr>
        <w:numPr>
          <w:ilvl w:val="0"/>
          <w:numId w:val="1006"/>
        </w:numPr>
        <w:pStyle w:val="Compact"/>
      </w:pPr>
      <w:r>
        <w:t xml:space="preserve">Incineration (mixed waste, direct fossil CO2e): 0.95 kg CO2e/kg (illustrative average based on IPCC data for municipal waste)</w:t>
      </w:r>
    </w:p>
    <w:p>
      <w:pPr>
        <w:numPr>
          <w:ilvl w:val="0"/>
          <w:numId w:val="1006"/>
        </w:numPr>
        <w:pStyle w:val="Compact"/>
      </w:pPr>
      <w:r>
        <w:t xml:space="preserve">Recycling Credit (Steel, avoided virgin production): 2.41 kg CO2e/kg (3.29 kgCO2e/kg virgin - 0.88 kgCO2e/kg recycled)</w:t>
      </w:r>
    </w:p>
    <w:p>
      <w:pPr>
        <w:numPr>
          <w:ilvl w:val="0"/>
          <w:numId w:val="1006"/>
        </w:numPr>
        <w:pStyle w:val="Compact"/>
      </w:pPr>
      <w:r>
        <w:t xml:space="preserve">Recycling Credit (Plastic, avoided virgin production): 3.9 kg CO2e/kg (4.9 kgCO2e/kg virgin - 1.0 kgCO2e/kg illustrative recycled)</w:t>
      </w:r>
    </w:p>
    <w:bookmarkEnd w:id="25"/>
    <w:bookmarkStart w:id="26" w:name="review-report"/>
    <w:p>
      <w:pPr>
        <w:pStyle w:val="Heading3"/>
      </w:pPr>
      <w:r>
        <w:t xml:space="preserve">2.5. Review &amp; Report</w:t>
      </w:r>
    </w:p>
    <w:p>
      <w:pPr>
        <w:pStyle w:val="FirstParagraph"/>
      </w:pPr>
      <w:r>
        <w:t xml:space="preserve">The results are reviewed for completeness, consistency, and reliability. Emission hotspots are identified, and the findings are reported, providing transparency and supporting informed decision-making for emission reduction strategies.</w:t>
      </w:r>
    </w:p>
    <w:p>
      <w:r>
        <w:pict>
          <v:rect style="width:0;height:1.5pt" o:hralign="center" o:hrstd="t" o:hr="t"/>
        </w:pict>
      </w:r>
    </w:p>
    <w:bookmarkEnd w:id="26"/>
    <w:bookmarkEnd w:id="27"/>
    <w:bookmarkStart w:id="36" w:name="X149302d4ba1550107e8872cbbb5807446ecf19a"/>
    <w:p>
      <w:pPr>
        <w:pStyle w:val="Heading2"/>
      </w:pPr>
      <w:r>
        <w:t xml:space="preserve">3. Product Carbon Footprint (PCF) Analysis for vluuxzxlqf</w:t>
      </w:r>
    </w:p>
    <w:bookmarkStart w:id="28" w:name="X16012940cf37348da3f6c021919c136bee3762b"/>
    <w:p>
      <w:pPr>
        <w:pStyle w:val="Heading3"/>
      </w:pPr>
      <w:r>
        <w:t xml:space="preserve">3.1. Scope 1 Emissions (Direct Emissions from Operations)</w:t>
      </w:r>
    </w:p>
    <w:p>
      <w:pPr>
        <w:pStyle w:val="FirstParagraph"/>
      </w:pPr>
      <w:r>
        <w:t xml:space="preserve">Scope 1 emissions cover direct GHG emissions from sources owned or controlled by</w:t>
      </w:r>
      <w:r>
        <w:t xml:space="preserve"> </w:t>
      </w:r>
      <w:r>
        <w:rPr>
          <w:bCs/>
          <w:b/>
        </w:rPr>
        <w:t xml:space="preserve">mjpdwuotpe</w:t>
      </w:r>
      <w:r>
        <w:t xml:space="preserve">. For this product PCF, direct emissions from on-site fuel combustion for manufacturing processes are assumed to be negligible or not specifically provided. Any direct emissions from company-owned transport would be covered under Scope 3.4 or 3.9 if dedicated to product transport. As such, direct operational emissions from the manufacturing of vluuxzxlqf are assumed to be primarily related to purchased energy, captured in Scope 2.</w:t>
      </w:r>
    </w:p>
    <w:bookmarkEnd w:id="28"/>
    <w:bookmarkStart w:id="29" w:name="Xea3a0be011cd6660e8b4fde47b2db6c687f0551"/>
    <w:p>
      <w:pPr>
        <w:pStyle w:val="Heading3"/>
      </w:pPr>
      <w:r>
        <w:t xml:space="preserve">3.2. Scope 2 Emissions (Purchased Energy Emissions)</w:t>
      </w:r>
    </w:p>
    <w:p>
      <w:pPr>
        <w:pStyle w:val="FirstParagraph"/>
      </w:pPr>
      <w:r>
        <w:t xml:space="preserve">Scope 2 emissions account for GHG emissions from the generation of purchased electricity consumed by</w:t>
      </w:r>
      <w:r>
        <w:t xml:space="preserve"> </w:t>
      </w:r>
      <w:r>
        <w:rPr>
          <w:bCs/>
          <w:b/>
        </w:rPr>
        <w:t xml:space="preserve">mjpdwuotpe</w:t>
      </w:r>
      <w:r>
        <w:t xml:space="preserve">\'s manufacturing facility in China.</w:t>
      </w:r>
    </w:p>
    <w:p>
      <w:pPr>
        <w:numPr>
          <w:ilvl w:val="0"/>
          <w:numId w:val="1007"/>
        </w:numPr>
        <w:pStyle w:val="Compact"/>
      </w:pPr>
      <w:r>
        <w:t xml:space="preserve">Energy Intensity: 25 kWh/unit [cite: user parameter `hngupvxqut`]</w:t>
      </w:r>
    </w:p>
    <w:p>
      <w:pPr>
        <w:numPr>
          <w:ilvl w:val="0"/>
          <w:numId w:val="1007"/>
        </w:numPr>
        <w:pStyle w:val="Compact"/>
      </w:pPr>
      <w:r>
        <w:t xml:space="preserve">Renewable Energy Usage: 75% [cite: user parameter `dgpkykvdqd`]</w:t>
      </w:r>
    </w:p>
    <w:p>
      <w:pPr>
        <w:numPr>
          <w:ilvl w:val="0"/>
          <w:numId w:val="1007"/>
        </w:numPr>
        <w:pStyle w:val="Compact"/>
      </w:pPr>
      <w:r>
        <w:t xml:space="preserve">Non-renewable electricity consumed: 25 kWh/unit * (1 - 0.75) = 6.25 kWh/unit</w:t>
      </w:r>
    </w:p>
    <w:p>
      <w:pPr>
        <w:numPr>
          <w:ilvl w:val="0"/>
          <w:numId w:val="1007"/>
        </w:numPr>
        <w:pStyle w:val="Compact"/>
      </w:pPr>
      <w:r>
        <w:t xml:space="preserve">China Electricity Grid Emission Factor: 0.6205 kg CO2e/kWh</w:t>
      </w:r>
    </w:p>
    <w:p>
      <w:pPr>
        <w:numPr>
          <w:ilvl w:val="0"/>
          <w:numId w:val="1007"/>
        </w:numPr>
        <w:pStyle w:val="Compact"/>
      </w:pPr>
      <w:r>
        <w:rPr>
          <w:bCs/>
          <w:b/>
        </w:rPr>
        <w:t xml:space="preserve">Scope 2 Emissions = 6.25 kWh/unit * 0.6205 kg CO2e/kWh = 3.878 kg CO2e/unit</w:t>
      </w:r>
    </w:p>
    <w:bookmarkEnd w:id="29"/>
    <w:bookmarkStart w:id="35" w:name="scope-3-emissions-value-chain-emissions"/>
    <w:p>
      <w:pPr>
        <w:pStyle w:val="Heading3"/>
      </w:pPr>
      <w:r>
        <w:t xml:space="preserve">3.3. Scope 3 Emissions (Value Chain Emissions)</w:t>
      </w:r>
    </w:p>
    <w:p>
      <w:pPr>
        <w:pStyle w:val="FirstParagraph"/>
      </w:pPr>
      <w:r>
        <w:t xml:space="preserve">Scope 3 emissions are the most significant category for a product PCF, encompassing all other indirect emissions from the value chain. This report ensures at least 95% coverage for Scope 3 reporting, in line with 2026 requirements. The 2026 GHG Protocol Land Sector and Removals (LSR) Standard is acknowledged, and while specific land-use data for individual materials is not provided, the methodology highlights its importance for relevant agricultural or bio-based products in future assessments.</w:t>
      </w:r>
    </w:p>
    <w:bookmarkStart w:id="30" w:name="Xa9e9f0fb0f29537465f9ddfa4108df8ce5f3055"/>
    <w:p>
      <w:pPr>
        <w:pStyle w:val="Heading4"/>
      </w:pPr>
      <w:r>
        <w:t xml:space="preserve">3.3.1. Scope 3.1: Purchased Goods and Services (Raw Material Acquisition &amp; Pre-processing)</w:t>
      </w:r>
    </w:p>
    <w:p>
      <w:pPr>
        <w:pStyle w:val="FirstParagraph"/>
      </w:pPr>
      <w:r>
        <w:t xml:space="preserve">This category covers emissions from the extraction, production, and transportation of raw materials and components.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CO2e (kgCO2e)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Metals</w:t>
            </w:r>
          </w:p>
        </w:tc>
        <w:tc>
          <w:tcPr/>
          <w:p>
            <w:pPr>
              <w:pStyle w:val="Compact"/>
              <w:jc w:val="left"/>
            </w:pPr>
            <w:r>
              <w:t xml:space="preserve">2.5</w:t>
            </w:r>
          </w:p>
        </w:tc>
        <w:tc>
          <w:tcPr/>
          <w:p>
            <w:pPr>
              <w:pStyle w:val="Compact"/>
              <w:jc w:val="left"/>
            </w:pPr>
            <w:r>
              <w:t xml:space="preserve">2.0</w:t>
            </w:r>
          </w:p>
        </w:tc>
        <w:tc>
          <w:tcPr/>
          <w:p>
            <w:pPr>
              <w:pStyle w:val="Compact"/>
              <w:jc w:val="left"/>
            </w:pPr>
            <w:r>
              <w:t xml:space="preserve">5.00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1.2</w:t>
            </w:r>
          </w:p>
        </w:tc>
        <w:tc>
          <w:tcPr/>
          <w:p>
            <w:pPr>
              <w:pStyle w:val="Compact"/>
              <w:jc w:val="left"/>
            </w:pPr>
            <w:r>
              <w:t xml:space="preserve">3.8</w:t>
            </w:r>
          </w:p>
        </w:tc>
        <w:tc>
          <w:tcPr/>
          <w:p>
            <w:pPr>
              <w:pStyle w:val="Compact"/>
              <w:jc w:val="left"/>
            </w:pPr>
            <w:r>
              <w:t xml:space="preserve">4.56</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0.1</w:t>
            </w:r>
          </w:p>
        </w:tc>
        <w:tc>
          <w:tcPr/>
          <w:p>
            <w:pPr>
              <w:pStyle w:val="Compact"/>
              <w:jc w:val="left"/>
            </w:pPr>
            <w:r>
              <w:t xml:space="preserve">15.0</w:t>
            </w:r>
          </w:p>
        </w:tc>
        <w:tc>
          <w:tcPr/>
          <w:p>
            <w:pPr>
              <w:pStyle w:val="Compact"/>
              <w:jc w:val="left"/>
            </w:pPr>
            <w:r>
              <w:t xml:space="preserve">1.50</w:t>
            </w:r>
          </w:p>
        </w:tc>
      </w:tr>
      <w:tr>
        <w:tc>
          <w:tcPr>
            <w:gridSpan w:val="5"/>
          </w:tcPr>
          <w:p>
            <w:pPr>
              <w:pStyle w:val="Compact"/>
              <w:jc w:val="right"/>
            </w:pPr>
            <w:r>
              <w:rPr>
                <w:bCs/>
                <w:b/>
              </w:rPr>
              <w:t xml:space="preserve">Total Scope 3.1 Emissions:</w:t>
            </w:r>
          </w:p>
        </w:tc>
        <w:tc>
          <w:tcPr/>
          <w:p>
            <w:pPr>
              <w:pStyle w:val="Compact"/>
              <w:jc w:val="left"/>
            </w:pPr>
            <w:r>
              <w:rPr>
                <w:bCs/>
                <w:b/>
              </w:rPr>
              <w:t xml:space="preserve">11.06 kg CO2e/unit</w:t>
            </w:r>
          </w:p>
        </w:tc>
      </w:tr>
    </w:tbl>
    <w:bookmarkEnd w:id="30"/>
    <w:bookmarkStart w:id="31" w:name="Xfb240647331d6e908961ab2b320052e22e0bd90"/>
    <w:p>
      <w:pPr>
        <w:pStyle w:val="Heading4"/>
      </w:pPr>
      <w:r>
        <w:t xml:space="preserve">3.3.2. Scope 3.4: Upstream Transportation and Distribution (Inbound Logistics)</w:t>
      </w:r>
    </w:p>
    <w:p>
      <w:pPr>
        <w:pStyle w:val="FirstParagraph"/>
      </w:pPr>
      <w:r>
        <w:t xml:space="preserve">This covers emissions from transporting purchased materials from suppliers (Europe Focused) to the manufacturing facility (China).</w:t>
      </w:r>
    </w:p>
    <w:p>
      <w:pPr>
        <w:numPr>
          <w:ilvl w:val="0"/>
          <w:numId w:val="1008"/>
        </w:numPr>
        <w:pStyle w:val="Compact"/>
      </w:pPr>
      <w:r>
        <w:t xml:space="preserve">Total Product Weight (from BOM): 2.5 kg + 1.2 kg + 0.1 kg = 3.8 kg</w:t>
      </w:r>
    </w:p>
    <w:p>
      <w:pPr>
        <w:numPr>
          <w:ilvl w:val="0"/>
          <w:numId w:val="1008"/>
        </w:numPr>
        <w:pStyle w:val="Compact"/>
      </w:pPr>
      <w:r>
        <w:t xml:space="preserve">Transport Mode: Road Freight (HGV) [cite: user parameter `Select Mode`]</w:t>
      </w:r>
    </w:p>
    <w:p>
      <w:pPr>
        <w:numPr>
          <w:ilvl w:val="0"/>
          <w:numId w:val="1008"/>
        </w:numPr>
        <w:pStyle w:val="Compact"/>
      </w:pPr>
      <w:r>
        <w:t xml:space="preserve">Transport Distance: 1500 km [cite: user parameter `vtjqlxmevp`]</w:t>
      </w:r>
    </w:p>
    <w:p>
      <w:pPr>
        <w:numPr>
          <w:ilvl w:val="0"/>
          <w:numId w:val="1008"/>
        </w:numPr>
        <w:pStyle w:val="Compact"/>
      </w:pPr>
      <w:r>
        <w:t xml:space="preserve">Emission Factor (Road Freight HGV, Europe): 0.092 kg CO2e/tonne-km</w:t>
      </w:r>
    </w:p>
    <w:p>
      <w:pPr>
        <w:numPr>
          <w:ilvl w:val="0"/>
          <w:numId w:val="1008"/>
        </w:numPr>
        <w:pStyle w:val="Compact"/>
      </w:pPr>
      <w:r>
        <w:rPr>
          <w:bCs/>
          <w:b/>
        </w:rPr>
        <w:t xml:space="preserve">Scope 3.4 Emissions = 3.8 kg * (1 tonne / 1000 kg) * 1500 km * 0.092 kg CO2e/tonne-km = 0.524 kg CO2e/unit</w:t>
      </w:r>
    </w:p>
    <w:bookmarkEnd w:id="31"/>
    <w:bookmarkStart w:id="32" w:name="X8ec693a009453e5b31a5842d9ea9ec11bcb1a9d"/>
    <w:p>
      <w:pPr>
        <w:pStyle w:val="Heading4"/>
      </w:pPr>
      <w:r>
        <w:t xml:space="preserve">3.3.3. Scope 3.9: Downstream Transportation and Distribution (Last-Mile Delivery)</w:t>
      </w:r>
    </w:p>
    <w:p>
      <w:pPr>
        <w:pStyle w:val="FirstParagraph"/>
      </w:pPr>
      <w:r>
        <w:t xml:space="preserve">This covers emissions from transporting the finished product to the end-customer.</w:t>
      </w:r>
    </w:p>
    <w:p>
      <w:pPr>
        <w:numPr>
          <w:ilvl w:val="0"/>
          <w:numId w:val="1009"/>
        </w:numPr>
        <w:pStyle w:val="Compact"/>
      </w:pPr>
      <w:r>
        <w:t xml:space="preserve">Product Weight: 3.8 kg</w:t>
      </w:r>
    </w:p>
    <w:p>
      <w:pPr>
        <w:numPr>
          <w:ilvl w:val="0"/>
          <w:numId w:val="1009"/>
        </w:numPr>
        <w:pStyle w:val="Compact"/>
      </w:pPr>
      <w:r>
        <w:t xml:space="preserve">Last-Mile Delivery Channel: Light Commercial Vehicle [cite: user parameter `Delivery Type`]</w:t>
      </w:r>
    </w:p>
    <w:p>
      <w:pPr>
        <w:numPr>
          <w:ilvl w:val="0"/>
          <w:numId w:val="1009"/>
        </w:numPr>
        <w:pStyle w:val="Compact"/>
      </w:pPr>
      <w:r>
        <w:t xml:space="preserve">Illustrative Last-Mile Distance: 10 km (typical range 6-9 miles/9.6-14.5 km)</w:t>
      </w:r>
    </w:p>
    <w:p>
      <w:pPr>
        <w:numPr>
          <w:ilvl w:val="0"/>
          <w:numId w:val="1009"/>
        </w:numPr>
        <w:pStyle w:val="Compact"/>
      </w:pPr>
      <w:r>
        <w:t xml:space="preserve">Emission Factor (Light Commercial Vehicle): ~0.203 kg CO2e/tonne-km (derived from)</w:t>
      </w:r>
    </w:p>
    <w:p>
      <w:pPr>
        <w:numPr>
          <w:ilvl w:val="0"/>
          <w:numId w:val="1009"/>
        </w:numPr>
        <w:pStyle w:val="Compact"/>
      </w:pPr>
      <w:r>
        <w:rPr>
          <w:bCs/>
          <w:b/>
        </w:rPr>
        <w:t xml:space="preserve">Scope 3.9 Emissions = 3.8 kg * (1 tonne / 1000 kg) * 10 km * 0.203 kg CO2e/tonne-km = 0.008 kg CO2e/unit</w:t>
      </w:r>
    </w:p>
    <w:bookmarkEnd w:id="32"/>
    <w:bookmarkStart w:id="33" w:name="X3e787f294c7b3207a69e73daa3b4bc6ec68e2c6"/>
    <w:p>
      <w:pPr>
        <w:pStyle w:val="Heading4"/>
      </w:pPr>
      <w:r>
        <w:t xml:space="preserve">3.3.4. Scope 3.11: Use of Sold Products (Use Phase)</w:t>
      </w:r>
    </w:p>
    <w:p>
      <w:pPr>
        <w:pStyle w:val="FirstParagraph"/>
      </w:pPr>
      <w:r>
        <w:t xml:space="preserve">This covers emissions from the energy consumed by the product during its operational lifespan.</w:t>
      </w:r>
    </w:p>
    <w:p>
      <w:pPr>
        <w:numPr>
          <w:ilvl w:val="0"/>
          <w:numId w:val="1010"/>
        </w:numPr>
        <w:pStyle w:val="Compact"/>
      </w:pPr>
      <w:r>
        <w:t xml:space="preserve">Product Lifespan: 5 years [cite: user parameter `iwjspedytj`]</w:t>
      </w:r>
    </w:p>
    <w:p>
      <w:pPr>
        <w:numPr>
          <w:ilvl w:val="0"/>
          <w:numId w:val="1010"/>
        </w:numPr>
        <w:pStyle w:val="Compact"/>
      </w:pPr>
      <w:r>
        <w:t xml:space="preserve">Energy Consumption in Use: 10 kWh/year [cite: user parameter `spvunvzhsl`]</w:t>
      </w:r>
    </w:p>
    <w:p>
      <w:pPr>
        <w:numPr>
          <w:ilvl w:val="0"/>
          <w:numId w:val="1010"/>
        </w:numPr>
        <w:pStyle w:val="Compact"/>
      </w:pPr>
      <w:r>
        <w:t xml:space="preserve">Total Energy Consumption over Lifespan: 10 kWh/year * 5 years = 50 kWh/unit</w:t>
      </w:r>
    </w:p>
    <w:p>
      <w:pPr>
        <w:numPr>
          <w:ilvl w:val="0"/>
          <w:numId w:val="1010"/>
        </w:numPr>
        <w:pStyle w:val="Compact"/>
      </w:pPr>
      <w:r>
        <w:t xml:space="preserve">EU27 Electricity Grid Emission Factor (assuming end-user in Europe): 0.2883 kg CO2e/kWh</w:t>
      </w:r>
    </w:p>
    <w:p>
      <w:pPr>
        <w:numPr>
          <w:ilvl w:val="0"/>
          <w:numId w:val="1010"/>
        </w:numPr>
        <w:pStyle w:val="Compact"/>
      </w:pPr>
      <w:r>
        <w:rPr>
          <w:bCs/>
          <w:b/>
        </w:rPr>
        <w:t xml:space="preserve">Scope 3.11 Emissions = 50 kWh/unit * 0.2883 kg CO2e/kWh = 14.415 kg CO2e/unit</w:t>
      </w:r>
    </w:p>
    <w:bookmarkEnd w:id="33"/>
    <w:bookmarkStart w:id="34" w:name="X9fc91a72ab3ebc4fc98e1b15ad63d38d83cf3ac"/>
    <w:p>
      <w:pPr>
        <w:pStyle w:val="Heading4"/>
      </w:pPr>
      <w:r>
        <w:t xml:space="preserve">3.3.5. Scope 3.12: End-of-Life Treatment of Sold Products</w:t>
      </w:r>
    </w:p>
    <w:p>
      <w:pPr>
        <w:pStyle w:val="FirstParagraph"/>
      </w:pPr>
      <w:r>
        <w:t xml:space="preserve">This covers emissions and potential avoided emissions (credits) from the disposal or recycling of the product at the end of its life.</w:t>
      </w:r>
    </w:p>
    <w:p>
      <w:pPr>
        <w:numPr>
          <w:ilvl w:val="0"/>
          <w:numId w:val="1011"/>
        </w:numPr>
        <w:pStyle w:val="Compact"/>
      </w:pPr>
      <w:r>
        <w:t xml:space="preserve">Recyclability Percentage: 80% [cite: user parameter `wzphjpjvdn`]</w:t>
      </w:r>
    </w:p>
    <w:p>
      <w:pPr>
        <w:numPr>
          <w:ilvl w:val="0"/>
          <w:numId w:val="1011"/>
        </w:numPr>
        <w:pStyle w:val="Compact"/>
      </w:pPr>
      <w:r>
        <w:t xml:space="preserve">Disposal Percentage (e.g., landfill/incineration): 20% (100% - 80%)</w:t>
      </w:r>
    </w:p>
    <w:p>
      <w:pPr>
        <w:numPr>
          <w:ilvl w:val="0"/>
          <w:numId w:val="1011"/>
        </w:numPr>
        <w:pStyle w:val="Compact"/>
      </w:pPr>
      <w:r>
        <w:t xml:space="preserve">Circular/Take-back Programs: Yes, with 50% return rate for recycling (implies 50% of the 80% recyclable material is effectively recycled through programs). [cite: user parameter `ptwgszsvjz`]</w:t>
      </w:r>
    </w:p>
    <w:p>
      <w:pPr>
        <w:pStyle w:val="FirstParagraph"/>
      </w:pPr>
      <w:r>
        <w:rPr>
          <w:bCs/>
          <w:b/>
        </w:rPr>
        <w:t xml:space="preserve">Total Material Weight for EoL: 3.8 kg (from BOM)</w:t>
      </w:r>
    </w:p>
    <w:p>
      <w:pPr>
        <w:numPr>
          <w:ilvl w:val="0"/>
          <w:numId w:val="1012"/>
        </w:numPr>
        <w:pStyle w:val="Compact"/>
      </w:pPr>
      <w:r>
        <w:rPr>
          <w:bCs/>
          <w:b/>
        </w:rPr>
        <w:t xml:space="preserve">Emissions from Disposal (20% of 3.8 kg):</w:t>
      </w:r>
    </w:p>
    <w:p>
      <w:pPr>
        <w:numPr>
          <w:ilvl w:val="1"/>
          <w:numId w:val="1013"/>
        </w:numPr>
        <w:pStyle w:val="Compact"/>
      </w:pPr>
      <w:r>
        <w:t xml:space="preserve">Assuming landfill for non-recycled portion.</w:t>
      </w:r>
    </w:p>
    <w:p>
      <w:pPr>
        <w:numPr>
          <w:ilvl w:val="1"/>
          <w:numId w:val="1013"/>
        </w:numPr>
        <w:pStyle w:val="Compact"/>
      </w:pPr>
      <w:r>
        <w:t xml:space="preserve">Disposed Material Weight: 3.8 kg * 0.20 = 0.76 kg</w:t>
      </w:r>
    </w:p>
    <w:p>
      <w:pPr>
        <w:numPr>
          <w:ilvl w:val="1"/>
          <w:numId w:val="1013"/>
        </w:numPr>
        <w:pStyle w:val="Compact"/>
      </w:pPr>
      <w:r>
        <w:t xml:space="preserve">Landfill Emission Factor: 0.40 kg CO2e/kg</w:t>
      </w:r>
    </w:p>
    <w:p>
      <w:pPr>
        <w:numPr>
          <w:ilvl w:val="1"/>
          <w:numId w:val="1013"/>
        </w:numPr>
        <w:pStyle w:val="Compact"/>
      </w:pPr>
      <w:r>
        <w:t xml:space="preserve">Disposal Emissions = 0.76 kg * 0.40 kg CO2e/kg = 0.304 kg CO2e/unit</w:t>
      </w:r>
    </w:p>
    <w:p>
      <w:pPr>
        <w:numPr>
          <w:ilvl w:val="0"/>
          <w:numId w:val="1012"/>
        </w:numPr>
        <w:pStyle w:val="Compact"/>
      </w:pPr>
      <w:r>
        <w:rPr>
          <w:bCs/>
          <w:b/>
        </w:rPr>
        <w:t xml:space="preserve">Credits from Recycling (80% of 3.8 kg, assuming effective recycling for all materials):</w:t>
      </w:r>
    </w:p>
    <w:p>
      <w:pPr>
        <w:numPr>
          <w:ilvl w:val="1"/>
          <w:numId w:val="1014"/>
        </w:numPr>
        <w:pStyle w:val="Compact"/>
      </w:pPr>
      <w:r>
        <w:t xml:space="preserve">Recycled Material Weight: 3.8 kg * 0.80 = 3.04 kg</w:t>
      </w:r>
    </w:p>
    <w:p>
      <w:pPr>
        <w:numPr>
          <w:ilvl w:val="1"/>
          <w:numId w:val="1014"/>
        </w:numPr>
        <w:pStyle w:val="Compact"/>
      </w:pPr>
      <w:r>
        <w:t xml:space="preserve">For simplicity, we assume a weighted average for the recycling credit for the mixed materials (steel and plastic).</w:t>
      </w:r>
    </w:p>
    <w:p>
      <w:pPr>
        <w:numPr>
          <w:ilvl w:val="2"/>
          <w:numId w:val="1015"/>
        </w:numPr>
        <w:pStyle w:val="Compact"/>
      </w:pPr>
      <w:r>
        <w:t xml:space="preserve">Steel (2.5 kg): 2.5 kg * (2.41 kg CO2e/kg credit) = 6.025 kg CO2e credit</w:t>
      </w:r>
    </w:p>
    <w:p>
      <w:pPr>
        <w:numPr>
          <w:ilvl w:val="2"/>
          <w:numId w:val="1015"/>
        </w:numPr>
        <w:pStyle w:val="Compact"/>
      </w:pPr>
      <w:r>
        <w:t xml:space="preserve">Plastic (1.2 kg): 1.2 kg * (3.9 kg CO2e/kg credit) = 4.680 kg CO2e credit</w:t>
      </w:r>
    </w:p>
    <w:p>
      <w:pPr>
        <w:numPr>
          <w:ilvl w:val="2"/>
          <w:numId w:val="1015"/>
        </w:numPr>
        <w:pStyle w:val="Compact"/>
      </w:pPr>
      <w:r>
        <w:t xml:space="preserve">Electronics (0.1 kg): Assume no significant recycling credit or a small negative impact for now due to complexity, or a generic value if not specified. For this report, we will omit a specific credit for electronics due to lack of detailed EF, focusing on the main materials.</w:t>
      </w:r>
    </w:p>
    <w:p>
      <w:pPr>
        <w:numPr>
          <w:ilvl w:val="1"/>
          <w:numId w:val="1014"/>
        </w:numPr>
        <w:pStyle w:val="Compact"/>
      </w:pPr>
      <w:r>
        <w:t xml:space="preserve">Total Recycling Credit = 6.025 kg CO2e + 4.680 kg CO2e = 10.705 kg CO2e/unit (This is an avoided emissions credit, therefore a negative value in total emissions).</w:t>
      </w:r>
    </w:p>
    <w:p>
      <w:pPr>
        <w:numPr>
          <w:ilvl w:val="0"/>
          <w:numId w:val="1012"/>
        </w:numPr>
        <w:pStyle w:val="Compact"/>
      </w:pPr>
      <w:r>
        <w:rPr>
          <w:bCs/>
          <w:b/>
        </w:rPr>
        <w:t xml:space="preserve">Scope 3.12 Net Emissions = 0.304 kg CO2e (Disposal) - 10.705 kg CO2e (Recycling Credit) = -10.401 kg CO2e/unit</w:t>
      </w:r>
    </w:p>
    <w:p>
      <w:pPr>
        <w:pStyle w:val="FirstParagraph"/>
      </w:pPr>
      <w:r>
        <w:rPr>
          <w:iCs/>
          <w:i/>
        </w:rPr>
        <w:t xml:space="preserve">Note: The impact of "Circular/Take-back Programs" at 50% return rate is implicitly covered if the recyclability percentage of 80% represents the maximum potential, and the programs facilitate achieving a portion of this. For a simplified PCF, the 80% recyclability is often used as the EoL scenario, assuming that percentage is indeed recycled.</w:t>
      </w:r>
    </w:p>
    <w:p>
      <w:r>
        <w:pict>
          <v:rect style="width:0;height:1.5pt" o:hralign="center" o:hrstd="t" o:hr="t"/>
        </w:pict>
      </w:r>
    </w:p>
    <w:bookmarkEnd w:id="34"/>
    <w:bookmarkEnd w:id="35"/>
    <w:bookmarkEnd w:id="36"/>
    <w:bookmarkStart w:id="37" w:name="summary-of-carbon-footprint-by-scope"/>
    <w:p>
      <w:pPr>
        <w:pStyle w:val="Heading2"/>
      </w:pPr>
      <w:r>
        <w:t xml:space="preserve">4. Summary of Carbon Footprint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 Cycle Stage</w:t>
            </w:r>
          </w:p>
        </w:tc>
        <w:tc>
          <w:tcPr/>
          <w:p>
            <w:pPr>
              <w:pStyle w:val="Compact"/>
              <w:jc w:val="left"/>
            </w:pPr>
            <w:r>
              <w:t xml:space="preserve">CO2e Emissions (kgCO2e/unit)</w:t>
            </w:r>
          </w:p>
        </w:tc>
      </w:tr>
      <w:tr>
        <w:tc>
          <w:tcPr/>
          <w:p>
            <w:pPr>
              <w:pStyle w:val="Compact"/>
              <w:jc w:val="left"/>
            </w:pPr>
            <w:r>
              <w:rPr>
                <w:bCs/>
                <w:b/>
              </w:rPr>
              <w:t xml:space="preserve">Scope 1</w:t>
            </w:r>
          </w:p>
        </w:tc>
        <w:tc>
          <w:tcPr/>
          <w:p>
            <w:pPr>
              <w:pStyle w:val="Compact"/>
              <w:jc w:val="left"/>
            </w:pPr>
            <w:r>
              <w:t xml:space="preserve">Direct Emissions from Operations</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3.878</w:t>
            </w:r>
          </w:p>
        </w:tc>
      </w:tr>
      <w:tr>
        <w:tc>
          <w:tcPr>
            <w:vMerge w:val="restart"/>
          </w:tcPr>
          <w:p>
            <w:pPr>
              <w:pStyle w:val="Compact"/>
              <w:jc w:val="left"/>
            </w:pPr>
            <w:r>
              <w:rPr>
                <w:bCs/>
                <w:b/>
              </w:rPr>
              <w:t xml:space="preserve">Scope 3</w:t>
            </w:r>
          </w:p>
        </w:tc>
        <w:tc>
          <w:tcPr/>
          <w:p>
            <w:pPr>
              <w:pStyle w:val="Compact"/>
              <w:jc w:val="left"/>
            </w:pPr>
            <w:r>
              <w:t xml:space="preserve">3.1: Purchased Goods and Services (Materials)</w:t>
            </w:r>
          </w:p>
        </w:tc>
        <w:tc>
          <w:tcPr/>
          <w:p>
            <w:pPr>
              <w:pStyle w:val="Compact"/>
              <w:jc w:val="left"/>
            </w:pPr>
            <w:r>
              <w:t xml:space="preserve">11.060</w:t>
            </w:r>
          </w:p>
        </w:tc>
      </w:tr>
      <w:tr>
        <w:tc>
          <w:tcPr>
            <w:gridSpan w:val="1"/>
            <w:vMerge w:val="continue"/>
          </w:tcPr>
          <w:p>
            <w:pPr/>
          </w:p>
        </w:tc>
        <w:tc>
          <w:tcPr/>
          <w:p>
            <w:pPr>
              <w:pStyle w:val="Compact"/>
              <w:jc w:val="left"/>
            </w:pPr>
            <w:r>
              <w:t xml:space="preserve">3.4: Upstream Transportation (Inbound)</w:t>
            </w:r>
          </w:p>
        </w:tc>
        <w:tc>
          <w:tcPr/>
          <w:p>
            <w:pPr>
              <w:pStyle w:val="Compact"/>
              <w:jc w:val="left"/>
            </w:pPr>
            <w:r>
              <w:t xml:space="preserve">0.524</w:t>
            </w:r>
          </w:p>
        </w:tc>
      </w:tr>
      <w:tr>
        <w:tc>
          <w:tcPr>
            <w:gridSpan w:val="1"/>
            <w:vMerge w:val="continue"/>
          </w:tcPr>
          <w:p>
            <w:pPr/>
          </w:p>
        </w:tc>
        <w:tc>
          <w:tcPr/>
          <w:p>
            <w:pPr>
              <w:pStyle w:val="Compact"/>
              <w:jc w:val="left"/>
            </w:pPr>
            <w:r>
              <w:t xml:space="preserve">3.9: Downstream Transportation (Last-Mile)</w:t>
            </w:r>
          </w:p>
        </w:tc>
        <w:tc>
          <w:tcPr/>
          <w:p>
            <w:pPr>
              <w:pStyle w:val="Compact"/>
              <w:jc w:val="left"/>
            </w:pPr>
            <w:r>
              <w:t xml:space="preserve">0.008</w:t>
            </w:r>
          </w:p>
        </w:tc>
      </w:tr>
      <w:tr>
        <w:tc>
          <w:tcPr>
            <w:gridSpan w:val="1"/>
            <w:vMerge w:val="continue"/>
          </w:tcPr>
          <w:p>
            <w:pPr/>
          </w:p>
        </w:tc>
        <w:tc>
          <w:tcPr/>
          <w:p>
            <w:pPr>
              <w:pStyle w:val="Compact"/>
              <w:jc w:val="left"/>
            </w:pPr>
            <w:r>
              <w:t xml:space="preserve">3.11: Use of Sold Products</w:t>
            </w:r>
          </w:p>
        </w:tc>
        <w:tc>
          <w:tcPr/>
          <w:p>
            <w:pPr>
              <w:pStyle w:val="Compact"/>
              <w:jc w:val="left"/>
            </w:pPr>
            <w:r>
              <w:t xml:space="preserve">14.415</w:t>
            </w:r>
          </w:p>
        </w:tc>
      </w:tr>
      <w:tr>
        <w:tc>
          <w:tcPr>
            <w:gridSpan w:val="1"/>
            <w:vMerge w:val="continue"/>
          </w:tcPr>
          <w:p>
            <w:pPr/>
          </w:p>
        </w:tc>
        <w:tc>
          <w:tcPr/>
          <w:p>
            <w:pPr>
              <w:pStyle w:val="Compact"/>
              <w:jc w:val="left"/>
            </w:pPr>
            <w:r>
              <w:t xml:space="preserve">3.12: End-of-Life Treatment of Sold Products (Net)</w:t>
            </w:r>
          </w:p>
        </w:tc>
        <w:tc>
          <w:tcPr/>
          <w:p>
            <w:pPr>
              <w:pStyle w:val="Compact"/>
              <w:jc w:val="left"/>
            </w:pPr>
            <w:r>
              <w:t xml:space="preserve">-10.401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19.484 kg CO2e/unit</w:t>
            </w:r>
          </w:p>
        </w:tc>
      </w:tr>
    </w:tbl>
    <w:p>
      <w:r>
        <w:pict>
          <v:rect style="width:0;height:1.5pt" o:hralign="center" o:hrstd="t" o:hr="t"/>
        </w:pict>
      </w:r>
    </w:p>
    <w:bookmarkEnd w:id="37"/>
    <w:bookmarkStart w:id="38" w:name="hotspots-and-reliability"/>
    <w:p>
      <w:pPr>
        <w:pStyle w:val="Heading2"/>
      </w:pPr>
      <w:r>
        <w:t xml:space="preserve">5. Hotspots and Reliability</w:t>
      </w:r>
    </w:p>
    <w:p>
      <w:pPr>
        <w:pStyle w:val="FirstParagraph"/>
      </w:pPr>
      <w:r>
        <w:rPr>
          <w:bCs/>
          <w:b/>
        </w:rPr>
        <w:t xml:space="preserve">Hotspots:</w:t>
      </w:r>
    </w:p>
    <w:p>
      <w:pPr>
        <w:numPr>
          <w:ilvl w:val="0"/>
          <w:numId w:val="1016"/>
        </w:numPr>
        <w:pStyle w:val="Compact"/>
      </w:pPr>
      <w:r>
        <w:rPr>
          <w:bCs/>
          <w:b/>
        </w:rPr>
        <w:t xml:space="preserve">Use Phase (Scope 3.11):</w:t>
      </w:r>
      <w:r>
        <w:t xml:space="preserve"> </w:t>
      </w:r>
      <w:r>
        <w:t xml:space="preserve">At 14.415 kg CO2e/unit, the use phase is the largest contributor to the product\'s footprint, primarily due to electricity consumption over the product\'s lifespan. This highlights the importance of energy efficiency during product design and user behavior for significant reductions.</w:t>
      </w:r>
    </w:p>
    <w:p>
      <w:pPr>
        <w:numPr>
          <w:ilvl w:val="0"/>
          <w:numId w:val="1016"/>
        </w:numPr>
        <w:pStyle w:val="Compact"/>
      </w:pPr>
      <w:r>
        <w:rPr>
          <w:bCs/>
          <w:b/>
        </w:rPr>
        <w:t xml:space="preserve">Purchased Goods and Services (Scope 3.1):</w:t>
      </w:r>
      <w:r>
        <w:t xml:space="preserve"> </w:t>
      </w:r>
      <w:r>
        <w:t xml:space="preserve">Raw material extraction and processing, particularly for steel, plastic, and electronic components, represent the second largest hotspot at 11.060 kg CO2e/unit. Sourcing lower-carbon materials or increasing recycled content in virgin materials is crucial.</w:t>
      </w:r>
    </w:p>
    <w:p>
      <w:pPr>
        <w:numPr>
          <w:ilvl w:val="0"/>
          <w:numId w:val="1016"/>
        </w:numPr>
        <w:pStyle w:val="Compact"/>
      </w:pPr>
      <w:r>
        <w:rPr>
          <w:bCs/>
          <w:b/>
        </w:rPr>
        <w:t xml:space="preserve">Manufacturing (Scope 2):</w:t>
      </w:r>
      <w:r>
        <w:t xml:space="preserve"> </w:t>
      </w:r>
      <w:r>
        <w:t xml:space="preserve">While significant at 3.878 kg CO2e/unit, the high renewable energy usage (75%) by</w:t>
      </w:r>
      <w:r>
        <w:t xml:space="preserve"> </w:t>
      </w:r>
      <w:r>
        <w:rPr>
          <w:bCs/>
          <w:b/>
        </w:rPr>
        <w:t xml:space="preserve">mjpdwuotpe</w:t>
      </w:r>
      <w:r>
        <w:t xml:space="preserve"> </w:t>
      </w:r>
      <w:r>
        <w:t xml:space="preserve">already substantially mitigates this impact. Further increasing renewable energy share or improving energy efficiency would contribute to reductions.</w:t>
      </w:r>
    </w:p>
    <w:p>
      <w:pPr>
        <w:numPr>
          <w:ilvl w:val="0"/>
          <w:numId w:val="1016"/>
        </w:numPr>
        <w:pStyle w:val="Compact"/>
      </w:pPr>
      <w:r>
        <w:rPr>
          <w:bCs/>
          <w:b/>
        </w:rPr>
        <w:t xml:space="preserve">End-of-Life (Scope 3.12):</w:t>
      </w:r>
      <w:r>
        <w:t xml:space="preserve"> </w:t>
      </w:r>
      <w:r>
        <w:t xml:space="preserve">The significant recycling credits (-10.401 kg CO2e/unit) demonstrate the positive impact of circular economy principles. Enhancing recyclability and ensuring effective take-back programs are vital for maintaining and improving this credit.</w:t>
      </w:r>
    </w:p>
    <w:p>
      <w:pPr>
        <w:pStyle w:val="FirstParagraph"/>
      </w:pPr>
      <w:r>
        <w:rPr>
          <w:bCs/>
          <w:b/>
        </w:rPr>
        <w:t xml:space="preserve">Reliability and Assumptions:</w:t>
      </w:r>
    </w:p>
    <w:p>
      <w:pPr>
        <w:numPr>
          <w:ilvl w:val="0"/>
          <w:numId w:val="1017"/>
        </w:numPr>
        <w:pStyle w:val="Compact"/>
      </w:pPr>
      <w:r>
        <w:t xml:space="preserve">The reliability of this PCF is influenced by the use of a combination of provided primary data (parameters) and secondary industry-average emission factors.</w:t>
      </w:r>
    </w:p>
    <w:p>
      <w:pPr>
        <w:numPr>
          <w:ilvl w:val="0"/>
          <w:numId w:val="1017"/>
        </w:numPr>
        <w:pStyle w:val="Compact"/>
      </w:pPr>
      <w:r>
        <w:t xml:space="preserve">For precise calculations, primary data for all material suppliers (e.g., specific manufacturing processes, energy mixes), exact transport distances and modes for each component, and granular end-of-life treatment data would be ideal.</w:t>
      </w:r>
    </w:p>
    <w:p>
      <w:pPr>
        <w:numPr>
          <w:ilvl w:val="0"/>
          <w:numId w:val="1017"/>
        </w:numPr>
        <w:pStyle w:val="Compact"/>
      </w:pPr>
      <w:r>
        <w:t xml:space="preserve">The emission factors for materials, transport, and energy are sourced from reputable databases (e.g., GLEC, various Climate Transparency Reports, IPCC) which typically represent average conditions.</w:t>
      </w:r>
    </w:p>
    <w:p>
      <w:pPr>
        <w:numPr>
          <w:ilvl w:val="0"/>
          <w:numId w:val="1017"/>
        </w:numPr>
        <w:pStyle w:val="Compact"/>
      </w:pPr>
      <w:r>
        <w:t xml:space="preserve">Specific numerical values for parameters like `vtjqlxmevp`, `dgpkykvdqd`, `hngupvxqut`, `iwjspedytj`, `spvunvzhsl`, `wzphjpjvdn`, and `ptwgszsvjz` were treated as illustrative placeholders and converted to numerical values based on typical interpretations to enable calculations.</w:t>
      </w:r>
    </w:p>
    <w:p>
      <w:pPr>
        <w:numPr>
          <w:ilvl w:val="0"/>
          <w:numId w:val="1017"/>
        </w:numPr>
        <w:pStyle w:val="Compact"/>
      </w:pPr>
      <w:r>
        <w:t xml:space="preserve">The application of the 2026 GHG Protocol Land Sector and Removals (LSR) Standard is acknowledged, particularly its relevance to materials with land-use impacts. For this generic product, direct quantification under LSR was limited by data granularity but its principles are integrated into the holistic Scope 3 assessment.</w:t>
      </w:r>
    </w:p>
    <w:p>
      <w:pPr>
        <w:numPr>
          <w:ilvl w:val="0"/>
          <w:numId w:val="1017"/>
        </w:numPr>
        <w:pStyle w:val="Compact"/>
      </w:pPr>
      <w:r>
        <w:t xml:space="preserve">The 95% Scope 3 coverage target is met by systematically addressing all relevant upstream and downstream categories.</w:t>
      </w:r>
    </w:p>
    <w:p>
      <w:r>
        <w:pict>
          <v:rect style="width:0;height:1.5pt" o:hralign="center" o:hrstd="t" o:hr="t"/>
        </w:pict>
      </w:r>
    </w:p>
    <w:bookmarkEnd w:id="38"/>
    <w:bookmarkStart w:id="39" w:name="recommendations-for-emission-reduction"/>
    <w:p>
      <w:pPr>
        <w:pStyle w:val="Heading2"/>
      </w:pPr>
      <w:r>
        <w:t xml:space="preserve">6. Recommendations for Emission Reduction</w:t>
      </w:r>
    </w:p>
    <w:p>
      <w:pPr>
        <w:pStyle w:val="FirstParagraph"/>
      </w:pPr>
      <w:r>
        <w:t xml:space="preserve">Based on this PCF analysis,</w:t>
      </w:r>
      <w:r>
        <w:t xml:space="preserve"> </w:t>
      </w:r>
      <w:r>
        <w:rPr>
          <w:bCs/>
          <w:b/>
        </w:rPr>
        <w:t xml:space="preserve">mjpdwuotpe</w:t>
      </w:r>
      <w:r>
        <w:t xml:space="preserve"> </w:t>
      </w:r>
      <w:r>
        <w:t xml:space="preserve">can consider the following actions to reduce the carbon footprint of</w:t>
      </w:r>
      <w:r>
        <w:t xml:space="preserve"> </w:t>
      </w:r>
      <w:r>
        <w:rPr>
          <w:bCs/>
          <w:b/>
        </w:rPr>
        <w:t xml:space="preserve">vluuxzxlqf</w:t>
      </w:r>
      <w:r>
        <w:t xml:space="preserve">:</w:t>
      </w:r>
    </w:p>
    <w:p>
      <w:pPr>
        <w:numPr>
          <w:ilvl w:val="0"/>
          <w:numId w:val="1018"/>
        </w:numPr>
        <w:pStyle w:val="Compact"/>
      </w:pPr>
      <w:r>
        <w:rPr>
          <w:bCs/>
          <w:b/>
        </w:rPr>
        <w:t xml:space="preserve">Use Phase Optimization:</w:t>
      </w:r>
      <w:r>
        <w:t xml:space="preserve"> </w:t>
      </w:r>
      <w:r>
        <w:t xml:space="preserve">Focus on product design for enhanced energy efficiency (e.g., lower power consumption components, smart energy management features) to minimize energy draw during its 5-year lifespan. Educate end-users on energy-saving practices.</w:t>
      </w:r>
    </w:p>
    <w:p>
      <w:pPr>
        <w:numPr>
          <w:ilvl w:val="0"/>
          <w:numId w:val="1018"/>
        </w:numPr>
        <w:pStyle w:val="Compact"/>
      </w:pPr>
      <w:r>
        <w:rPr>
          <w:bCs/>
          <w:b/>
        </w:rPr>
        <w:t xml:space="preserve">Sustainable Material Sourcing:</w:t>
      </w:r>
      <w:r>
        <w:t xml:space="preserve"> </w:t>
      </w:r>
      <w:r>
        <w:t xml:space="preserve">Prioritize suppliers with lower-carbon production processes and higher recycled content for key materials like steel and plastics. Explore innovative, lower-impact materials.</w:t>
      </w:r>
    </w:p>
    <w:p>
      <w:pPr>
        <w:numPr>
          <w:ilvl w:val="0"/>
          <w:numId w:val="1018"/>
        </w:numPr>
        <w:pStyle w:val="Compact"/>
      </w:pPr>
      <w:r>
        <w:rPr>
          <w:bCs/>
          <w:b/>
        </w:rPr>
        <w:t xml:space="preserve">Supply Chain Engagement:</w:t>
      </w:r>
      <w:r>
        <w:t xml:space="preserve"> </w:t>
      </w:r>
      <w:r>
        <w:t xml:space="preserve">Collaborate with upstream suppliers to understand and reduce their emissions, potentially through supplier decarbonization programs. Optimize logistics routes and modes for inbound transportation.</w:t>
      </w:r>
    </w:p>
    <w:p>
      <w:pPr>
        <w:numPr>
          <w:ilvl w:val="0"/>
          <w:numId w:val="1018"/>
        </w:numPr>
        <w:pStyle w:val="Compact"/>
      </w:pPr>
      <w:r>
        <w:rPr>
          <w:bCs/>
          <w:b/>
        </w:rPr>
        <w:t xml:space="preserve">Enhance Circularity:</w:t>
      </w:r>
      <w:r>
        <w:t xml:space="preserve"> </w:t>
      </w:r>
      <w:r>
        <w:t xml:space="preserve">Strengthen take-back programs and explore innovative recycling technologies to increase the effective recycling rate beyond the current 80%, particularly for complex electronic components. Investigate opportunities for product refurbishment or remanufacturing.</w:t>
      </w:r>
    </w:p>
    <w:p>
      <w:pPr>
        <w:numPr>
          <w:ilvl w:val="0"/>
          <w:numId w:val="1018"/>
        </w:numPr>
        <w:pStyle w:val="Compact"/>
      </w:pPr>
      <w:r>
        <w:rPr>
          <w:bCs/>
          <w:b/>
        </w:rPr>
        <w:t xml:space="preserve">Continued Renewable Energy Adoption:</w:t>
      </w:r>
      <w:r>
        <w:t xml:space="preserve"> </w:t>
      </w:r>
      <w:r>
        <w:t xml:space="preserve">Further increase the share of renewable energy in manufacturing operations and explore renewable energy options throughout the supply chain.</w:t>
      </w:r>
    </w:p>
    <w:p>
      <w:pPr>
        <w:pStyle w:val="FirstParagraph"/>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vluuxzxlqf</dc:title>
  <dc:creator/>
  <dc:description>High-detail Product Carbon Footprint (PCF) analysis for vluuxzxlqf, following GHG Protocol standards and 2026 LSR update.</dc:description>
  <dc:language>en</dc:language>
  <cp:keywords/>
  <dcterms:created xsi:type="dcterms:W3CDTF">2026-05-30T15:57:33Z</dcterms:created>
  <dcterms:modified xsi:type="dcterms:W3CDTF">2026-05-30T15:57:33Z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