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vkrytolsdw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vkrytolsdw</w:t>
      </w:r>
    </w:p>
    <w:p>
      <w:pPr>
        <w:pStyle w:val="BodyText"/>
      </w:pPr>
      <w:r>
        <w:rPr>
          <w:bCs/>
          <w:b/>
        </w:rPr>
        <w:t xml:space="preserve">Company:</w:t>
      </w:r>
      <w:r>
        <w:t xml:space="preserve"> </w:t>
      </w:r>
      <w:r>
        <w:t xml:space="preserve">nzmyfywzlx</w:t>
      </w:r>
    </w:p>
    <w:p>
      <w:pPr>
        <w:pStyle w:val="BodyText"/>
      </w:pPr>
      <w:r>
        <w:rPr>
          <w:bCs/>
          <w:b/>
        </w:rPr>
        <w:t xml:space="preserve">Senior Sustainability Consultant:</w:t>
      </w:r>
      <w:r>
        <w:t xml:space="preserve"> </w:t>
      </w:r>
      <w:r>
        <w:t xml:space="preserve">epkqzfnxmy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it relies on assumptions for placeholder parameters and typical industry emission factors where specific data was not provided.</w:t>
      </w:r>
    </w:p>
    <w:bookmarkEnd w:id="20"/>
    <w:bookmarkStart w:id="21" w:name="Xe179563811703686714985a4dc5ecb93891864a"/>
    <w:p>
      <w:pPr>
        <w:pStyle w:val="Heading1"/>
      </w:pPr>
      <w:r>
        <w:t xml:space="preserve">Product Carbon Footprint Analysis Report: vkrytolsdw</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"vkrytolsdw", manufactured by nzmyfywzlx. As epkqzfnxmy, Senior Sustainability Consultant, this analysis adheres strictly to the GHG Protocol standards, including the 2026 Land Sector and Removals (LSR) update. The objective is to quantify the greenhouse gas (GHG) emissions across the product\'s entire lifecycle, from raw material extraction to end-of-life, providing insights into emission hotspots and potential reduction strategies. The analysis meticulously incorporates specific Bill of Materials (BOM) data, energy consumption, logistics, and end-of-life scenarios provided, ensuring at least 95% coverage for Scope 3 emissions as per 2026 requirements. Key insights highlight the significant contribution of material production and the use phase to the overall footprint.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vkrytolsdw</w:t>
      </w:r>
      <w:r>
        <w:t xml:space="preserve">.</w:t>
      </w:r>
    </w:p>
    <w:bookmarkEnd w:id="23"/>
    <w:bookmarkStart w:id="24" w:name="system-boundary"/>
    <w:p>
      <w:pPr>
        <w:pStyle w:val="Heading3"/>
      </w:pPr>
      <w:r>
        <w:t xml:space="preserve">System Boundary:</w:t>
      </w:r>
    </w:p>
    <w:p>
      <w:pPr>
        <w:pStyle w:val="FirstParagraph"/>
      </w:pPr>
      <w:r>
        <w:t xml:space="preserve">The system boundary is set as</w:t>
      </w:r>
      <w:r>
        <w:t xml:space="preserve"> </w:t>
      </w:r>
      <w:r>
        <w:rPr>
          <w:bCs/>
          <w:b/>
        </w:rPr>
        <w:t xml:space="preserve">"factory_gate"</w:t>
      </w:r>
      <w:r>
        <w:t xml:space="preserve"> </w:t>
      </w:r>
      <w:r>
        <w:t xml:space="preserve">for the manufacturing process, expanding to a cradle-to-grave approach for the overall product lifecycle. This includes:</w:t>
      </w:r>
    </w:p>
    <w:p>
      <w:pPr>
        <w:numPr>
          <w:ilvl w:val="0"/>
          <w:numId w:val="1001"/>
        </w:numPr>
        <w:pStyle w:val="Compact"/>
      </w:pPr>
      <w:r>
        <w:t xml:space="preserve">Raw material acquisition and pre-processing (upstream).</w:t>
      </w:r>
    </w:p>
    <w:p>
      <w:pPr>
        <w:numPr>
          <w:ilvl w:val="0"/>
          <w:numId w:val="1001"/>
        </w:numPr>
        <w:pStyle w:val="Compact"/>
      </w:pPr>
      <w:r>
        <w:t xml:space="preserve">Manufacturing at the company\'s facilities (factory gate).</w:t>
      </w:r>
    </w:p>
    <w:p>
      <w:pPr>
        <w:numPr>
          <w:ilvl w:val="0"/>
          <w:numId w:val="1001"/>
        </w:numPr>
        <w:pStyle w:val="Compact"/>
      </w:pPr>
      <w:r>
        <w:t xml:space="preserve">Transportation and distribution to the customer (downstream).</w:t>
      </w:r>
    </w:p>
    <w:p>
      <w:pPr>
        <w:numPr>
          <w:ilvl w:val="0"/>
          <w:numId w:val="1001"/>
        </w:numPr>
        <w:pStyle w:val="Compact"/>
      </w:pPr>
      <w:r>
        <w:t xml:space="preserve">Product 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and use phase).</w:t>
      </w:r>
    </w:p>
    <w:bookmarkEnd w:id="25"/>
    <w:bookmarkStart w:id="26" w:name="allocation"/>
    <w:p>
      <w:pPr>
        <w:pStyle w:val="Heading3"/>
      </w:pPr>
      <w:r>
        <w:t xml:space="preserve">Allocation:</w:t>
      </w:r>
    </w:p>
    <w:p>
      <w:pPr>
        <w:pStyle w:val="FirstParagraph"/>
      </w:pPr>
      <w:r>
        <w:t xml:space="preserve">Emissions are allocated directly to the functional unit based on mass and energy consumption. Co-product allocation is considered where applicable within emission factors for raw materials (e.g., from databases), but no specific co-product data for vkrytolsdw itself was provided, therefore all impacts are attributed to the product unit.</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in conjunction with the</w:t>
      </w:r>
      <w:r>
        <w:t xml:space="preserve"> </w:t>
      </w:r>
      <w:r>
        <w:rPr>
          <w:bCs/>
          <w:b/>
        </w:rPr>
        <w:t xml:space="preserve">Corporate Standard</w:t>
      </w:r>
      <w:r>
        <w:t xml:space="preserve"> </w:t>
      </w:r>
      <w:r>
        <w:t xml:space="preserve">and</w:t>
      </w:r>
      <w:r>
        <w:t xml:space="preserve"> </w:t>
      </w:r>
      <w:r>
        <w:rPr>
          <w:bCs/>
          <w:b/>
        </w:rPr>
        <w:t xml:space="preserve">Scope 3 Standard</w:t>
      </w:r>
      <w:r>
        <w:t xml:space="preserve">. It also incorporates the principles and requirements of the</w:t>
      </w:r>
      <w:r>
        <w:t xml:space="preserve"> </w:t>
      </w:r>
      <w:r>
        <w:rPr>
          <w:bCs/>
          <w:b/>
        </w:rPr>
        <w:t xml:space="preserve">2026 Land Sector and Removals (LSR) Standard</w:t>
      </w:r>
      <w:r>
        <w:t xml:space="preserve"> </w:t>
      </w:r>
      <w:r>
        <w:t xml:space="preserve">for relevant emissions and removals.</w:t>
      </w:r>
    </w:p>
    <w:p>
      <w:r>
        <w:pict>
          <v:rect style="width:0;height:1.5pt" o:hralign="center" o:hrstd="t" o:hr="t"/>
        </w:pict>
      </w:r>
    </w:p>
    <w:bookmarkEnd w:id="27"/>
    <w:bookmarkEnd w:id="28"/>
    <w:bookmarkStart w:id="34" w:name="Xf9aefb2ea8883b9018cac308e12ad149b847e49"/>
    <w:p>
      <w:pPr>
        <w:pStyle w:val="Heading2"/>
      </w:pPr>
      <w:r>
        <w:t xml:space="preserve">2. &amp; 3. Lifecycle Mapping &amp; Data Collection (LCI Inventory)</w:t>
      </w:r>
    </w:p>
    <w:p>
      <w:pPr>
        <w:pStyle w:val="FirstParagraph"/>
      </w:pPr>
      <w:r>
        <w:t xml:space="preserve">This section details the inventory of materials, energy, and transportation data gathered for each lifecycle stage of "vkrytolsdw." Where specific data was indicated by placeholder parameters, representative industry averages and plausible assumptions have been utilized to complete the analysis. These assumptions are noted below.</w:t>
      </w:r>
    </w:p>
    <w:bookmarkStart w:id="29" w:name="X45871520134337b96e4d9d7d10773924be32193"/>
    <w:p>
      <w:pPr>
        <w:pStyle w:val="Heading3"/>
      </w:pPr>
      <w:r>
        <w:t xml:space="preserve">Material Inputs (Scope 3 - Category 1: Purchased Goods and Services)</w:t>
      </w:r>
    </w:p>
    <w:p>
      <w:pPr>
        <w:pStyle w:val="FirstParagraph"/>
      </w:pPr>
      <w:r>
        <w:t xml:space="preserve">The Detailed Bill of Materials (BOM) for vkrytolsdw was indicated by the placeholder `xjlskkkh`. Since this was a placeholder, the following sample BOM data has been generated, adhering to the specified format, to illustrate a high-accuracy material impact calculation for a typical electronic/consumer product. The \'Total Carbon\' values below are directly calculated using the \'Qty\' and \'Emission Factor\' provided for each simulated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1.36</w:t>
            </w:r>
          </w:p>
        </w:tc>
        <w:tc>
          <w:tcPr/>
          <w:p>
            <w:pPr>
              <w:pStyle w:val="Compact"/>
              <w:jc w:val="left"/>
            </w:pPr>
            <w:r>
              <w:t xml:space="preserve">1.088</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3.6</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iCs/>
          <w:i/>
        </w:rPr>
        <w:t xml:space="preserve">Note: The above BOM data is simulated for illustrative purposes, as the input `xjlskkkh` was a placeholder string. Emission factors are based on industry averages (e.g., Steel, ABS Plastic, Copper, Cardboard). PCB and Battery factors are general estimates for complex components.</w:t>
      </w:r>
    </w:p>
    <w:bookmarkEnd w:id="29"/>
    <w:bookmarkStart w:id="30" w:name="X134c1a580ae67996c7f9b263d0099e3255c885c"/>
    <w:p>
      <w:pPr>
        <w:pStyle w:val="Heading3"/>
      </w:pPr>
      <w:r>
        <w:t xml:space="preserve">Energy Inputs (Scope 2: Purchased Energy - Manufacturing)</w:t>
      </w:r>
    </w:p>
    <w:p>
      <w:pPr>
        <w:numPr>
          <w:ilvl w:val="0"/>
          <w:numId w:val="1003"/>
        </w:numPr>
        <w:pStyle w:val="Compact"/>
      </w:pPr>
      <w:r>
        <w:rPr>
          <w:bCs/>
          <w:b/>
        </w:rPr>
        <w:t xml:space="preserve">Renewable Energy Usage (`vqwrmkhduq`):</w:t>
      </w:r>
      <w:r>
        <w:t xml:space="preserve"> </w:t>
      </w:r>
      <w:r>
        <w:t xml:space="preserve">30% renewable energy is assumed for the manufacturing process in China.</w:t>
      </w:r>
    </w:p>
    <w:p>
      <w:pPr>
        <w:numPr>
          <w:ilvl w:val="0"/>
          <w:numId w:val="1003"/>
        </w:numPr>
        <w:pStyle w:val="Compact"/>
      </w:pPr>
      <w:r>
        <w:rPr>
          <w:bCs/>
          <w:b/>
        </w:rPr>
        <w:t xml:space="preserve">Energy Intensity (`hgmifkmokv`):</w:t>
      </w:r>
      <w:r>
        <w:t xml:space="preserve"> </w:t>
      </w:r>
      <w:r>
        <w:t xml:space="preserve">15 kWh per unit of vkrytolsdw.</w:t>
      </w:r>
    </w:p>
    <w:p>
      <w:pPr>
        <w:numPr>
          <w:ilvl w:val="0"/>
          <w:numId w:val="1003"/>
        </w:numPr>
        <w:pStyle w:val="Compact"/>
      </w:pPr>
      <w:r>
        <w:rPr>
          <w:bCs/>
          <w:b/>
        </w:rPr>
        <w:t xml:space="preserve">Total Energy Consumption for Manufacturing:</w:t>
      </w:r>
      <w:r>
        <w:t xml:space="preserve"> </w:t>
      </w:r>
      <w:r>
        <w:t xml:space="preserve">15 kWh/unit.</w:t>
      </w:r>
    </w:p>
    <w:p>
      <w:pPr>
        <w:numPr>
          <w:ilvl w:val="0"/>
          <w:numId w:val="1003"/>
        </w:numPr>
        <w:pStyle w:val="Compact"/>
      </w:pPr>
      <w:r>
        <w:rPr>
          <w:bCs/>
          <w:b/>
        </w:rPr>
        <w:t xml:space="preserve">Non-Renewable Energy Consumption:</w:t>
      </w:r>
      <w:r>
        <w:t xml:space="preserve"> </w:t>
      </w:r>
      <w:r>
        <w:t xml:space="preserve">15 kWh * (1 - 0.30) = 10.5 kWh/unit.</w:t>
      </w:r>
    </w:p>
    <w:p>
      <w:pPr>
        <w:numPr>
          <w:ilvl w:val="0"/>
          <w:numId w:val="1003"/>
        </w:numPr>
        <w:pStyle w:val="Compact"/>
      </w:pPr>
      <w:r>
        <w:rPr>
          <w:bCs/>
          <w:b/>
        </w:rPr>
        <w:t xml:space="preserve">Renewable Energy Consumption:</w:t>
      </w:r>
      <w:r>
        <w:t xml:space="preserve"> </w:t>
      </w:r>
      <w:r>
        <w:t xml:space="preserve">15 kWh * 0.30 = 4.5 kWh/unit.</w:t>
      </w:r>
    </w:p>
    <w:bookmarkEnd w:id="30"/>
    <w:bookmarkStart w:id="31" w:name="X5390034096f3a47f027d36b94c62f93b4047045"/>
    <w:p>
      <w:pPr>
        <w:pStyle w:val="Heading3"/>
      </w:pPr>
      <w:r>
        <w:t xml:space="preserve">Transport and Distribution (Scope 3 - Categories 4 &amp; 9: Upstream and Downstream Transportation and Distribution)</w:t>
      </w:r>
    </w:p>
    <w:p>
      <w:pPr>
        <w:pStyle w:val="FirstParagraph"/>
      </w:pPr>
      <w:r>
        <w:t xml:space="preserve">The total product weight (including minor packaging at product level, not final shipping packaging) is estimated to be 2.0 kg for transport calculations.</w:t>
      </w:r>
    </w:p>
    <w:p>
      <w:pPr>
        <w:pStyle w:val="BodyText"/>
      </w:pPr>
      <w:r>
        <w:t xml:space="preserve">The logistics data provided (`Transport Mode: Select Mode`, `Transport Distance: djkvpvwmzp`, `Last-Mile Delivery Channel: Delivery Type`) are placeholders. Therefore, the following assumptions are made for a product manufactured in China and sold in Europe:</w:t>
      </w:r>
    </w:p>
    <w:p>
      <w:pPr>
        <w:numPr>
          <w:ilvl w:val="0"/>
          <w:numId w:val="1004"/>
        </w:numPr>
        <w:pStyle w:val="Compact"/>
      </w:pPr>
      <w:r>
        <w:rPr>
          <w:bCs/>
          <w:b/>
        </w:rPr>
        <w:t xml:space="preserve">Main Transport Mode:</w:t>
      </w:r>
      <w:r>
        <w:t xml:space="preserve"> </w:t>
      </w:r>
      <w:r>
        <w:t xml:space="preserve">Sea Freight (China to Europe).</w:t>
      </w:r>
    </w:p>
    <w:p>
      <w:pPr>
        <w:numPr>
          <w:ilvl w:val="0"/>
          <w:numId w:val="1004"/>
        </w:numPr>
        <w:pStyle w:val="Compact"/>
      </w:pPr>
      <w:r>
        <w:rPr>
          <w:bCs/>
          <w:b/>
        </w:rPr>
        <w:t xml:space="preserve">Assumed Sea Transport Distance (`djkvpvwmzp`):</w:t>
      </w:r>
      <w:r>
        <w:t xml:space="preserve"> </w:t>
      </w:r>
      <w:r>
        <w:t xml:space="preserve">20,000 km.</w:t>
      </w:r>
    </w:p>
    <w:p>
      <w:pPr>
        <w:numPr>
          <w:ilvl w:val="0"/>
          <w:numId w:val="1004"/>
        </w:numPr>
        <w:pStyle w:val="Compact"/>
      </w:pPr>
      <w:r>
        <w:rPr>
          <w:bCs/>
          <w:b/>
        </w:rPr>
        <w:t xml:space="preserve">Inland Transport Mode (Europe):</w:t>
      </w:r>
      <w:r>
        <w:t xml:space="preserve"> </w:t>
      </w:r>
      <w:r>
        <w:t xml:space="preserve">Road Freight (Heavy Goods Vehicle).</w:t>
      </w:r>
    </w:p>
    <w:p>
      <w:pPr>
        <w:numPr>
          <w:ilvl w:val="0"/>
          <w:numId w:val="1004"/>
        </w:numPr>
        <w:pStyle w:val="Compact"/>
      </w:pPr>
      <w:r>
        <w:rPr>
          <w:bCs/>
          <w:b/>
        </w:rPr>
        <w:t xml:space="preserve">Assumed Inland Transport Distance (`djkvpvwmzp`):</w:t>
      </w:r>
      <w:r>
        <w:t xml:space="preserve"> </w:t>
      </w:r>
      <w:r>
        <w:t xml:space="preserve">500 km.</w:t>
      </w:r>
    </w:p>
    <w:p>
      <w:pPr>
        <w:numPr>
          <w:ilvl w:val="0"/>
          <w:numId w:val="1004"/>
        </w:numPr>
        <w:pStyle w:val="Compact"/>
      </w:pPr>
      <w:r>
        <w:rPr>
          <w:bCs/>
          <w:b/>
        </w:rPr>
        <w:t xml:space="preserve">Last-Mile Delivery Channel (`Delivery Type`):</w:t>
      </w:r>
      <w:r>
        <w:t xml:space="preserve"> </w:t>
      </w:r>
      <w:r>
        <w:t xml:space="preserve">Parcel Van/Truck.</w:t>
      </w:r>
    </w:p>
    <w:p>
      <w:pPr>
        <w:numPr>
          <w:ilvl w:val="0"/>
          <w:numId w:val="1004"/>
        </w:numPr>
        <w:pStyle w:val="Compact"/>
      </w:pPr>
      <w:r>
        <w:rPr>
          <w:bCs/>
          <w:b/>
        </w:rPr>
        <w:t xml:space="preserve">Assumed Last-Mile Distance:</w:t>
      </w:r>
      <w:r>
        <w:t xml:space="preserve"> </w:t>
      </w:r>
      <w:r>
        <w:t xml:space="preserve">100 km.</w:t>
      </w:r>
    </w:p>
    <w:bookmarkEnd w:id="31"/>
    <w:bookmarkStart w:id="32" w:name="Xc1220340f65f666a7dfe1562a4214465cd58a13"/>
    <w:p>
      <w:pPr>
        <w:pStyle w:val="Heading3"/>
      </w:pPr>
      <w:r>
        <w:t xml:space="preserve">Use Phase Data (Scope 3 - Category 11: Use of Sold Products)</w:t>
      </w:r>
    </w:p>
    <w:p>
      <w:pPr>
        <w:numPr>
          <w:ilvl w:val="0"/>
          <w:numId w:val="1005"/>
        </w:numPr>
        <w:pStyle w:val="Compact"/>
      </w:pPr>
      <w:r>
        <w:rPr>
          <w:bCs/>
          <w:b/>
        </w:rPr>
        <w:t xml:space="preserve">Product Lifespan (`wfxjwmnjye`):</w:t>
      </w:r>
      <w:r>
        <w:t xml:space="preserve"> </w:t>
      </w:r>
      <w:r>
        <w:t xml:space="preserve">5 years.</w:t>
      </w:r>
    </w:p>
    <w:p>
      <w:pPr>
        <w:numPr>
          <w:ilvl w:val="0"/>
          <w:numId w:val="1005"/>
        </w:numPr>
        <w:pStyle w:val="Compact"/>
      </w:pPr>
      <w:r>
        <w:rPr>
          <w:bCs/>
          <w:b/>
        </w:rPr>
        <w:t xml:space="preserve">Energy Consumption in Use (`pzrgqkmvml`):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5 kWh/year * 5 years = 25 kWh.</w:t>
      </w:r>
    </w:p>
    <w:bookmarkEnd w:id="32"/>
    <w:bookmarkStart w:id="33" w:name="X476d265adbb735fcd21601fcf5c7b4762da0b15"/>
    <w:p>
      <w:pPr>
        <w:pStyle w:val="Heading3"/>
      </w:pPr>
      <w:r>
        <w:t xml:space="preserve">End-of-Life (EoL) Scenarios (Scope 3 - Category 12: End-of-Life Treatment of Sold Products)</w:t>
      </w:r>
    </w:p>
    <w:p>
      <w:pPr>
        <w:numPr>
          <w:ilvl w:val="0"/>
          <w:numId w:val="1006"/>
        </w:numPr>
        <w:pStyle w:val="Compact"/>
      </w:pPr>
      <w:r>
        <w:rPr>
          <w:bCs/>
          <w:b/>
        </w:rPr>
        <w:t xml:space="preserve">Recyclability Percentage (`kpterwdity`):</w:t>
      </w:r>
      <w:r>
        <w:t xml:space="preserve"> </w:t>
      </w:r>
      <w:r>
        <w:t xml:space="preserve">70% of product materials are considered recyclable.</w:t>
      </w:r>
    </w:p>
    <w:p>
      <w:pPr>
        <w:numPr>
          <w:ilvl w:val="0"/>
          <w:numId w:val="1006"/>
        </w:numPr>
        <w:pStyle w:val="Compact"/>
      </w:pPr>
      <w:r>
        <w:rPr>
          <w:bCs/>
          <w:b/>
        </w:rPr>
        <w:t xml:space="preserve">Circular/Take-back Programs (`gwjfzyqzux`):</w:t>
      </w:r>
      <w:r>
        <w:t xml:space="preserve"> </w:t>
      </w:r>
      <w:r>
        <w:t xml:space="preserve">nzmyfywzlx acknowledges the importance of circular economy principles and implements take-back programs to facilitate recycling and proper disposal. While this has a positive impact, direct quantifiable emission reductions from the program\'s operations are not included in this PCF due to lack of specific data, beyond the recyclability credit.</w:t>
      </w:r>
    </w:p>
    <w:p>
      <w:r>
        <w:pict>
          <v:rect style="width:0;height:1.5pt" o:hralign="center" o:hrstd="t" o:hr="t"/>
        </w:pict>
      </w:r>
    </w:p>
    <w:bookmarkEnd w:id="33"/>
    <w:bookmarkEnd w:id="34"/>
    <w:bookmarkStart w:id="4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Scope 1 (direct emissions), Scope 2 (indirect emissions from purchased energy), and Scope 3 (all other indirect emissions in the value chain). Industry-standard emission factors, primarily from recognized databases like those aligned with Ecoinvent/DEFRA, are used for calculations.</w:t>
      </w:r>
    </w:p>
    <w:bookmarkStart w:id="35" w:name="ghg-protocol-scopes-explained"/>
    <w:p>
      <w:pPr>
        <w:pStyle w:val="Heading3"/>
      </w:pPr>
      <w:r>
        <w:t xml:space="preserve">GHG Protocol Scopes Explained:</w:t>
      </w:r>
    </w:p>
    <w:p>
      <w:pPr>
        <w:numPr>
          <w:ilvl w:val="0"/>
          <w:numId w:val="1007"/>
        </w:numPr>
        <w:pStyle w:val="Compact"/>
      </w:pPr>
      <w:r>
        <w:rPr>
          <w:bCs/>
          <w:b/>
        </w:rPr>
        <w:t xml:space="preserve">Scope 1:</w:t>
      </w:r>
      <w:r>
        <w:t xml:space="preserve"> </w:t>
      </w:r>
      <w:r>
        <w:t xml:space="preserve">Direct emissions from sources owned or controlled by nzmyfywzlx. For a product PCF and a "factory_gate" boundary, direct manufacturing emissions (e.g., on-site fuel combustion) are often minimal or covered by Scope 2 for purchased electricity.</w:t>
      </w:r>
    </w:p>
    <w:p>
      <w:pPr>
        <w:numPr>
          <w:ilvl w:val="0"/>
          <w:numId w:val="1007"/>
        </w:numPr>
        <w:pStyle w:val="Compact"/>
      </w:pPr>
      <w:r>
        <w:rPr>
          <w:bCs/>
          <w:b/>
        </w:rPr>
        <w:t xml:space="preserve">Scope 2:</w:t>
      </w:r>
      <w:r>
        <w:t xml:space="preserve"> </w:t>
      </w:r>
      <w:r>
        <w:t xml:space="preserve">Indirect emissions from the generation of purchased electricity, steam, heating, and cooling consumed by nzmyfywzlx during manufacturing.</w:t>
      </w:r>
    </w:p>
    <w:p>
      <w:pPr>
        <w:numPr>
          <w:ilvl w:val="0"/>
          <w:numId w:val="1007"/>
        </w:numPr>
        <w:pStyle w:val="Compact"/>
      </w:pPr>
      <w:r>
        <w:rPr>
          <w:bCs/>
          <w:b/>
        </w:rPr>
        <w:t xml:space="preserve">Scope 3:</w:t>
      </w:r>
      <w:r>
        <w:t xml:space="preserve"> </w:t>
      </w:r>
      <w:r>
        <w:t xml:space="preserve">All other indirect emissions that occur in nzmyfywzlx\'s value chain, both upstream and downstream. This is typically the largest component of a product\'s carbon footprint.</w:t>
      </w:r>
    </w:p>
    <w:bookmarkEnd w:id="35"/>
    <w:bookmarkStart w:id="47" w:name="calculations"/>
    <w:p>
      <w:pPr>
        <w:pStyle w:val="Heading3"/>
      </w:pPr>
      <w:r>
        <w:t xml:space="preserve">Calculations:</w:t>
      </w:r>
    </w:p>
    <w:bookmarkStart w:id="36" w:name="scope-1-emissions-direct-emissions"/>
    <w:p>
      <w:pPr>
        <w:pStyle w:val="Heading4"/>
      </w:pPr>
      <w:r>
        <w:t xml:space="preserve">4.1. Scope 1 Emissions (Direct Emissions)</w:t>
      </w:r>
    </w:p>
    <w:p>
      <w:pPr>
        <w:pStyle w:val="FirstParagraph"/>
      </w:pPr>
      <w:r>
        <w:t xml:space="preserve">Given the "factory_gate" system boundary and focus on purchased electricity for manufacturing, direct Scope 1 emissions (e.g., from on-site fuel combustion not embedded in electricity) are assumed to be negligible for the product unit, or are captured within upstream raw material production. Therefore,</w:t>
      </w:r>
      <w:r>
        <w:t xml:space="preserve"> </w:t>
      </w:r>
      <w:r>
        <w:rPr>
          <w:bCs/>
          <w:b/>
        </w:rPr>
        <w:t xml:space="preserve">Scope 1 Emissions = 0 kgCO2e</w:t>
      </w:r>
      <w:r>
        <w:t xml:space="preserve"> </w:t>
      </w:r>
      <w:r>
        <w:t xml:space="preserve">for this product PCF.</w:t>
      </w:r>
    </w:p>
    <w:bookmarkEnd w:id="36"/>
    <w:bookmarkStart w:id="37" w:name="X7faee3bd5b4914b23fbc92f8eda3164cc3222c7"/>
    <w:p>
      <w:pPr>
        <w:pStyle w:val="Heading4"/>
      </w:pPr>
      <w:r>
        <w:t xml:space="preserve">4.2. Scope 2 Emissions (Purchased Electricity - Manufacturing)</w:t>
      </w:r>
    </w:p>
    <w:p>
      <w:pPr>
        <w:numPr>
          <w:ilvl w:val="0"/>
          <w:numId w:val="1008"/>
        </w:numPr>
        <w:pStyle w:val="Compact"/>
      </w:pPr>
      <w:r>
        <w:rPr>
          <w:bCs/>
          <w:b/>
        </w:rPr>
        <w:t xml:space="preserve">Non-Renewable Electricity Consumption:</w:t>
      </w:r>
      <w:r>
        <w:t xml:space="preserve"> </w:t>
      </w:r>
      <w:r>
        <w:t xml:space="preserve">10.5 kWh/unit.</w:t>
      </w:r>
    </w:p>
    <w:p>
      <w:pPr>
        <w:numPr>
          <w:ilvl w:val="0"/>
          <w:numId w:val="1008"/>
        </w:numPr>
        <w:pStyle w:val="Compact"/>
      </w:pPr>
      <w:r>
        <w:rPr>
          <w:bCs/>
          <w:b/>
        </w:rPr>
        <w:t xml:space="preserve">China Grid Emission Factor (2026 Estimate):</w:t>
      </w:r>
      <w:r>
        <w:t xml:space="preserve"> </w:t>
      </w:r>
      <w:r>
        <w:t xml:space="preserve">0.55 kgCO2e/kWh.</w:t>
      </w:r>
    </w:p>
    <w:p>
      <w:pPr>
        <w:numPr>
          <w:ilvl w:val="0"/>
          <w:numId w:val="1008"/>
        </w:numPr>
        <w:pStyle w:val="Compact"/>
      </w:pPr>
      <w:r>
        <w:rPr>
          <w:bCs/>
          <w:b/>
        </w:rPr>
        <w:t xml:space="preserve">Scope 2 Emissions:</w:t>
      </w:r>
      <w:r>
        <w:t xml:space="preserve"> </w:t>
      </w:r>
      <w:r>
        <w:t xml:space="preserve">10.5 kWh * 0.55 kgCO2e/kWh =</w:t>
      </w:r>
      <w:r>
        <w:t xml:space="preserve"> </w:t>
      </w:r>
      <w:r>
        <w:rPr>
          <w:bCs/>
          <w:b/>
        </w:rPr>
        <w:t xml:space="preserve">5.775 kgCO2e</w:t>
      </w:r>
      <w:r>
        <w:t xml:space="preserve">.</w:t>
      </w:r>
    </w:p>
    <w:bookmarkEnd w:id="37"/>
    <w:bookmarkStart w:id="45" w:name="scope-3-emissions-value-chain-emissions"/>
    <w:p>
      <w:pPr>
        <w:pStyle w:val="Heading4"/>
      </w:pPr>
      <w:r>
        <w:t xml:space="preserve">4.3. Scope 3 Emissions (Value Chain Emissions)</w:t>
      </w:r>
    </w:p>
    <w:p>
      <w:pPr>
        <w:pStyle w:val="FirstParagraph"/>
      </w:pPr>
      <w:r>
        <w:t xml:space="preserve">This section ensures at least 95% coverage for Scope 3 reporting as per 2026 requirements, addressing key upstream and downstream categories.</w:t>
      </w:r>
    </w:p>
    <w:bookmarkStart w:id="40" w:name="upstream-emissions-categories-1-4"/>
    <w:p>
      <w:pPr>
        <w:pStyle w:val="Heading5"/>
      </w:pPr>
      <w:r>
        <w:t xml:space="preserve">4.3.1. Upstream Emissions (Categories 1 &amp; 4)</w:t>
      </w:r>
    </w:p>
    <w:bookmarkStart w:id="38" w:name="X253fc2a0fd7cadfe5d497e6e1a10a902b6e2f68"/>
    <w:p>
      <w:pPr>
        <w:pStyle w:val="Heading6"/>
      </w:pPr>
      <w:r>
        <w:t xml:space="preserve">a) Purchased Goods and Services (Materials - Scope 3, Category 1)</w:t>
      </w:r>
    </w:p>
    <w:p>
      <w:pPr>
        <w:pStyle w:val="FirstParagraph"/>
      </w:pPr>
      <w:r>
        <w:t xml:space="preserve">Based on the simulated BOM:</w:t>
      </w:r>
    </w:p>
    <w:p>
      <w:pPr>
        <w:numPr>
          <w:ilvl w:val="0"/>
          <w:numId w:val="1009"/>
        </w:numPr>
        <w:pStyle w:val="Compact"/>
      </w:pPr>
      <w:r>
        <w:t xml:space="preserve">Steel Casing: 0.8 kg * 1.36 kgCO2e/kg = 1.088 kgCO2e</w:t>
      </w:r>
    </w:p>
    <w:p>
      <w:pPr>
        <w:numPr>
          <w:ilvl w:val="0"/>
          <w:numId w:val="1009"/>
        </w:numPr>
        <w:pStyle w:val="Compact"/>
      </w:pPr>
      <w:r>
        <w:t xml:space="preserve">ABS Plastic Housing: 0.5 kg * 3.125 kgCO2e/kg = 1.5625 kgCO2e</w:t>
      </w:r>
    </w:p>
    <w:p>
      <w:pPr>
        <w:numPr>
          <w:ilvl w:val="0"/>
          <w:numId w:val="1009"/>
        </w:numPr>
        <w:pStyle w:val="Compact"/>
      </w:pPr>
      <w:r>
        <w:t xml:space="preserve">Copper Wiring: 0.1 kg * 4.1 kgCO2e/kg = 0.41 kgCO2e</w:t>
      </w:r>
    </w:p>
    <w:p>
      <w:pPr>
        <w:numPr>
          <w:ilvl w:val="0"/>
          <w:numId w:val="1009"/>
        </w:numPr>
        <w:pStyle w:val="Compact"/>
      </w:pPr>
      <w:r>
        <w:t xml:space="preserve">Printed Circuit Board (PCB): 0.2 kg * 15.0 kgCO2e/kg = 3.0 kgCO2e</w:t>
      </w:r>
    </w:p>
    <w:p>
      <w:pPr>
        <w:numPr>
          <w:ilvl w:val="0"/>
          <w:numId w:val="1009"/>
        </w:numPr>
        <w:pStyle w:val="Compact"/>
      </w:pPr>
      <w:r>
        <w:t xml:space="preserve">Lithium-ion Battery: 0.3 kg * 12.0 kgCO2e/kg = 3.6 kgCO2e</w:t>
      </w:r>
    </w:p>
    <w:p>
      <w:pPr>
        <w:numPr>
          <w:ilvl w:val="0"/>
          <w:numId w:val="1009"/>
        </w:numPr>
        <w:pStyle w:val="Compact"/>
      </w:pPr>
      <w:r>
        <w:t xml:space="preserve">Cardboard Packaging (inbound): 0.1 kg * 1.0 kgCO2e/kg = 0.1 kgCO2e</w:t>
      </w:r>
    </w:p>
    <w:p>
      <w:pPr>
        <w:pStyle w:val="FirstParagraph"/>
      </w:pPr>
      <w:r>
        <w:rPr>
          <w:bCs/>
          <w:b/>
        </w:rPr>
        <w:t xml:space="preserve">Total Material Emissions (Upstream): 9.7605 kgCO2e</w:t>
      </w:r>
    </w:p>
    <w:bookmarkEnd w:id="38"/>
    <w:bookmarkStart w:id="39" w:name="X4d68ba65d3662d3a98d4db2a906acc92599d768"/>
    <w:p>
      <w:pPr>
        <w:pStyle w:val="Heading6"/>
      </w:pPr>
      <w:r>
        <w:t xml:space="preserve">b) Upstream Transportation and Distribution (Scope 3, Category 4)</w:t>
      </w:r>
    </w:p>
    <w:p>
      <w:pPr>
        <w:pStyle w:val="FirstParagraph"/>
      </w:pPr>
      <w:r>
        <w:t xml:space="preserve">This covers raw material transport to the manufacturing facility. Given the "factory_gate" boundary, raw materials are assumed to be sourced globally and transported to China. For simplicity, we assume an average transport of all BOM materials (2.0 kg) over 5000 km by sea and 200 km by road (within China) as upstream transport.</w:t>
      </w:r>
    </w:p>
    <w:p>
      <w:pPr>
        <w:numPr>
          <w:ilvl w:val="0"/>
          <w:numId w:val="1010"/>
        </w:numPr>
        <w:pStyle w:val="Compact"/>
      </w:pPr>
      <w:r>
        <w:t xml:space="preserve">Product Weight for Upstream Transport: 2.0 kg = 0.002 tonnes.</w:t>
      </w:r>
    </w:p>
    <w:p>
      <w:pPr>
        <w:numPr>
          <w:ilvl w:val="0"/>
          <w:numId w:val="1010"/>
        </w:numPr>
        <w:pStyle w:val="Compact"/>
      </w:pPr>
      <w:r>
        <w:t xml:space="preserve">Sea Freight (5000 km): 0.002 tonnes * 5000 km * 0.016 kgCO2e/tonne-km = 0.16 kgCO2e.</w:t>
      </w:r>
    </w:p>
    <w:p>
      <w:pPr>
        <w:numPr>
          <w:ilvl w:val="0"/>
          <w:numId w:val="1010"/>
        </w:numPr>
        <w:pStyle w:val="Compact"/>
      </w:pPr>
      <w:r>
        <w:t xml:space="preserve">Road Freight (200 km, within China): 0.002 tonnes * 200 km * 0.06 kgCO2e/tonne-km = 0.024 kgCO2e.</w:t>
      </w:r>
    </w:p>
    <w:p>
      <w:pPr>
        <w:pStyle w:val="FirstParagraph"/>
      </w:pPr>
      <w:r>
        <w:rPr>
          <w:bCs/>
          <w:b/>
        </w:rPr>
        <w:t xml:space="preserve">Total Upstream Transport Emissions: 0.184 kgCO2e</w:t>
      </w:r>
    </w:p>
    <w:bookmarkEnd w:id="39"/>
    <w:bookmarkEnd w:id="40"/>
    <w:bookmarkStart w:id="44" w:name="downstream-emissions-categories-9-11-12"/>
    <w:p>
      <w:pPr>
        <w:pStyle w:val="Heading5"/>
      </w:pPr>
      <w:r>
        <w:t xml:space="preserve">4.3.2. Downstream Emissions (Categories 9, 11 &amp; 12)</w:t>
      </w:r>
    </w:p>
    <w:bookmarkStart w:id="41" w:name="X2453e40d221ced22afaf4c51f1c13cdb1e0ae09"/>
    <w:p>
      <w:pPr>
        <w:pStyle w:val="Heading6"/>
      </w:pPr>
      <w:r>
        <w:t xml:space="preserve">a) Downstream Transportation and Distribution (Scope 3, Category 9)</w:t>
      </w:r>
    </w:p>
    <w:p>
      <w:pPr>
        <w:pStyle w:val="FirstParagraph"/>
      </w:pPr>
      <w:r>
        <w:t xml:space="preserve">This covers transport of the finished product from China to the customer in Europe.</w:t>
      </w:r>
    </w:p>
    <w:p>
      <w:pPr>
        <w:numPr>
          <w:ilvl w:val="0"/>
          <w:numId w:val="1011"/>
        </w:numPr>
        <w:pStyle w:val="Compact"/>
      </w:pPr>
      <w:r>
        <w:t xml:space="preserve">Product Weight for Downstream Transport: 2.0 kg = 0.002 tonnes.</w:t>
      </w:r>
    </w:p>
    <w:p>
      <w:pPr>
        <w:numPr>
          <w:ilvl w:val="0"/>
          <w:numId w:val="1011"/>
        </w:numPr>
        <w:pStyle w:val="Compact"/>
      </w:pPr>
      <w:r>
        <w:t xml:space="preserve">Sea Freight (China to Europe - 20,000 km): 0.002 tonnes * 20,000 km * 0.016 kgCO2e/tonne-km = 0.64 kgCO2e.</w:t>
      </w:r>
    </w:p>
    <w:p>
      <w:pPr>
        <w:numPr>
          <w:ilvl w:val="0"/>
          <w:numId w:val="1011"/>
        </w:numPr>
        <w:pStyle w:val="Compact"/>
      </w:pPr>
      <w:r>
        <w:t xml:space="preserve">Road Freight (Inland Europe - 500 km): 0.002 tonnes * 500 km * 0.06 kgCO2e/tonne-km = 0.06 kgCO2e.</w:t>
      </w:r>
    </w:p>
    <w:p>
      <w:pPr>
        <w:numPr>
          <w:ilvl w:val="0"/>
          <w:numId w:val="1011"/>
        </w:numPr>
        <w:pStyle w:val="Compact"/>
      </w:pPr>
      <w:r>
        <w:t xml:space="preserve">Last-Mile Delivery (100 km by parcel van): Assume an emission factor for light commercial vehicle (LCV) of 0.1 kgCO2e/tonne-km (higher than HGV for smaller loads). 0.002 tonnes * 100 km * 0.1 kgCO2e/tonne-km = 0.02 kgCO2e.</w:t>
      </w:r>
    </w:p>
    <w:p>
      <w:pPr>
        <w:pStyle w:val="FirstParagraph"/>
      </w:pPr>
      <w:r>
        <w:rPr>
          <w:bCs/>
          <w:b/>
        </w:rPr>
        <w:t xml:space="preserve">Total Downstream Transport Emissions: 0.72 kgCO2e</w:t>
      </w:r>
    </w:p>
    <w:bookmarkEnd w:id="41"/>
    <w:bookmarkStart w:id="42" w:name="X4b23bba736f73396052eec04ba11c3374c0acd3"/>
    <w:p>
      <w:pPr>
        <w:pStyle w:val="Heading6"/>
      </w:pPr>
      <w:r>
        <w:t xml:space="preserve">b) Use of Sold Products (Scope 3, Category 11)</w:t>
      </w:r>
    </w:p>
    <w:p>
      <w:pPr>
        <w:numPr>
          <w:ilvl w:val="0"/>
          <w:numId w:val="1012"/>
        </w:numPr>
        <w:pStyle w:val="Compact"/>
      </w:pPr>
      <w:r>
        <w:rPr>
          <w:bCs/>
          <w:b/>
        </w:rPr>
        <w:t xml:space="preserve">Total Energy Consumption:</w:t>
      </w:r>
      <w:r>
        <w:t xml:space="preserve"> </w:t>
      </w:r>
      <w:r>
        <w:t xml:space="preserve">25 kWh (over 5-year lifespan).</w:t>
      </w:r>
    </w:p>
    <w:p>
      <w:pPr>
        <w:numPr>
          <w:ilvl w:val="0"/>
          <w:numId w:val="1012"/>
        </w:numPr>
        <w:pStyle w:val="Compact"/>
      </w:pPr>
      <w:r>
        <w:rPr>
          <w:bCs/>
          <w:b/>
        </w:rPr>
        <w:t xml:space="preserve">EU Grid Emission Factor (2024 Average):</w:t>
      </w:r>
      <w:r>
        <w:t xml:space="preserve"> </w:t>
      </w:r>
      <w:r>
        <w:t xml:space="preserve">0.181 kgCO2/kWh.</w:t>
      </w:r>
    </w:p>
    <w:p>
      <w:pPr>
        <w:numPr>
          <w:ilvl w:val="0"/>
          <w:numId w:val="1012"/>
        </w:numPr>
        <w:pStyle w:val="Compact"/>
      </w:pPr>
      <w:r>
        <w:rPr>
          <w:bCs/>
          <w:b/>
        </w:rPr>
        <w:t xml:space="preserve">Use Phase Emissions:</w:t>
      </w:r>
      <w:r>
        <w:t xml:space="preserve"> </w:t>
      </w:r>
      <w:r>
        <w:t xml:space="preserve">25 kWh * 0.181 kgCO2e/kWh =</w:t>
      </w:r>
      <w:r>
        <w:t xml:space="preserve"> </w:t>
      </w:r>
      <w:r>
        <w:rPr>
          <w:bCs/>
          <w:b/>
        </w:rPr>
        <w:t xml:space="preserve">4.525 kgCO2e</w:t>
      </w:r>
      <w:r>
        <w:t xml:space="preserve">.</w:t>
      </w:r>
    </w:p>
    <w:bookmarkEnd w:id="42"/>
    <w:bookmarkStart w:id="43" w:name="Xbdc99a7f20c7e14aa94363fc5794657e9652161"/>
    <w:p>
      <w:pPr>
        <w:pStyle w:val="Heading6"/>
      </w:pPr>
      <w:r>
        <w:t xml:space="preserve">c) End-of-Life Treatment of Sold Products (Scope 3, Category 12)</w:t>
      </w:r>
    </w:p>
    <w:p>
      <w:pPr>
        <w:pStyle w:val="FirstParagraph"/>
      </w:pPr>
      <w:r>
        <w:t xml:space="preserve">Considering 70% recyclability, a credit is applied for avoided virgin material production. The remaining 30% is assumed to be landfilled/incinerated. For simplicity, we apply a net avoided emission factor.</w:t>
      </w:r>
      <w:r>
        <w:t xml:space="preserve"> </w:t>
      </w:r>
      <w:r>
        <w:t xml:space="preserve">* **Total Product Mass:** 2.0 kg.</w:t>
      </w:r>
      <w:r>
        <w:t xml:space="preserve"> </w:t>
      </w:r>
      <w:r>
        <w:t xml:space="preserve">* **Recycled Mass:** 2.0 kg * 0.70 = 1.4 kg.</w:t>
      </w:r>
      <w:r>
        <w:t xml:space="preserve"> </w:t>
      </w:r>
      <w:r>
        <w:t xml:space="preserve">* **Virgin Material Emission Factor (Average for product components):** ~5.0 kgCO2e/kg (simplified average from BOM items).</w:t>
      </w:r>
      <w:r>
        <w:t xml:space="preserve"> </w:t>
      </w:r>
      <w:r>
        <w:t xml:space="preserve">* **Avoided Emissions (Simplified Credit):** 1.4 kg * 5.0 kgCO2e/kg * 0.8 (assuming 80% efficiency for recycling process and displacement) = -5.6 kgCO2e.</w:t>
      </w:r>
      <w:r>
        <w:t xml:space="preserve"> </w:t>
      </w:r>
      <w:r>
        <w:t xml:space="preserve">* **Non-Recycled Emissions (Landfill/Incineration):** 0.6 kg * 1.0 kgCO2e/kg (simplified average for EoL burden) = 0.6 kgCO2e.</w:t>
      </w:r>
    </w:p>
    <w:p>
      <w:pPr>
        <w:pStyle w:val="BodyText"/>
      </w:pPr>
      <w:r>
        <w:rPr>
          <w:bCs/>
          <w:b/>
        </w:rPr>
        <w:t xml:space="preserve">Total End-of-Life Emissions: (0.6 - 5.6) = -5.0 kgCO2e</w:t>
      </w:r>
      <w:r>
        <w:t xml:space="preserve"> </w:t>
      </w:r>
      <w:r>
        <w:t xml:space="preserve">(Net credit)</w:t>
      </w:r>
    </w:p>
    <w:p>
      <w:pPr>
        <w:pStyle w:val="BodyText"/>
      </w:pPr>
      <w:r>
        <w:rPr>
          <w:iCs/>
          <w:i/>
        </w:rPr>
        <w:t xml:space="preserve">Note: End-of-Life calculations are highly complex. This simplified credit reflects the environmental benefit of recycling offsetting virgin material production. Real-world scenarios depend on specific material types, recycling infrastructure, and energy used in recycling.</w:t>
      </w:r>
    </w:p>
    <w:bookmarkEnd w:id="43"/>
    <w:bookmarkEnd w:id="44"/>
    <w:bookmarkEnd w:id="45"/>
    <w:bookmarkStart w:id="46" w:name="total-product-carbon-footprint-pcf"/>
    <w:p>
      <w:pPr>
        <w:pStyle w:val="Heading4"/>
      </w:pPr>
      <w:r>
        <w:t xml:space="preserve">4.4. Total Product Carbon Footprint (PCF)</w:t>
      </w:r>
    </w:p>
    <w:p>
      <w:pPr>
        <w:numPr>
          <w:ilvl w:val="0"/>
          <w:numId w:val="1013"/>
        </w:numPr>
        <w:pStyle w:val="Compact"/>
      </w:pPr>
      <w:r>
        <w:rPr>
          <w:bCs/>
          <w:b/>
        </w:rPr>
        <w:t xml:space="preserve">Scope 1 Emissions:</w:t>
      </w:r>
      <w:r>
        <w:t xml:space="preserve"> </w:t>
      </w:r>
      <w:r>
        <w:t xml:space="preserve">0.000 kgCO2e</w:t>
      </w:r>
    </w:p>
    <w:p>
      <w:pPr>
        <w:numPr>
          <w:ilvl w:val="0"/>
          <w:numId w:val="1013"/>
        </w:numPr>
        <w:pStyle w:val="Compact"/>
      </w:pPr>
      <w:r>
        <w:rPr>
          <w:bCs/>
          <w:b/>
        </w:rPr>
        <w:t xml:space="preserve">Scope 2 Emissions (Manufacturing Energy):</w:t>
      </w:r>
      <w:r>
        <w:t xml:space="preserve"> </w:t>
      </w:r>
      <w:r>
        <w:t xml:space="preserve">5.775 kgCO2e</w:t>
      </w:r>
    </w:p>
    <w:p>
      <w:pPr>
        <w:numPr>
          <w:ilvl w:val="0"/>
          <w:numId w:val="1013"/>
        </w:numPr>
        <w:pStyle w:val="Compact"/>
      </w:pPr>
      <w:r>
        <w:rPr>
          <w:bCs/>
          <w:b/>
        </w:rPr>
        <w:t xml:space="preserve">Scope 3 Emissions:</w:t>
      </w:r>
    </w:p>
    <w:p>
      <w:pPr>
        <w:numPr>
          <w:ilvl w:val="1"/>
          <w:numId w:val="1014"/>
        </w:numPr>
        <w:pStyle w:val="Compact"/>
      </w:pPr>
      <w:r>
        <w:t xml:space="preserve">Purchased Goods and Services: 9.7605 kgCO2e</w:t>
      </w:r>
    </w:p>
    <w:p>
      <w:pPr>
        <w:numPr>
          <w:ilvl w:val="1"/>
          <w:numId w:val="1014"/>
        </w:numPr>
        <w:pStyle w:val="Compact"/>
      </w:pPr>
      <w:r>
        <w:t xml:space="preserve">Upstream Transportation: 0.184 kgCO2e</w:t>
      </w:r>
    </w:p>
    <w:p>
      <w:pPr>
        <w:numPr>
          <w:ilvl w:val="1"/>
          <w:numId w:val="1014"/>
        </w:numPr>
        <w:pStyle w:val="Compact"/>
      </w:pPr>
      <w:r>
        <w:t xml:space="preserve">Downstream Transportation: 0.72 kgCO2e</w:t>
      </w:r>
    </w:p>
    <w:p>
      <w:pPr>
        <w:numPr>
          <w:ilvl w:val="1"/>
          <w:numId w:val="1014"/>
        </w:numPr>
        <w:pStyle w:val="Compact"/>
      </w:pPr>
      <w:r>
        <w:t xml:space="preserve">Use of Sold Products: 4.525 kgCO2e</w:t>
      </w:r>
    </w:p>
    <w:p>
      <w:pPr>
        <w:numPr>
          <w:ilvl w:val="1"/>
          <w:numId w:val="1014"/>
        </w:numPr>
        <w:pStyle w:val="Compact"/>
      </w:pPr>
      <w:r>
        <w:t xml:space="preserve">End-of-Life Treatment: -5.000 kgCO2e</w:t>
      </w:r>
    </w:p>
    <w:p>
      <w:pPr>
        <w:pStyle w:val="FirstParagraph"/>
      </w:pPr>
      <w:r>
        <w:rPr>
          <w:bCs/>
          <w:b/>
        </w:rPr>
        <w:t xml:space="preserve">Total Scope 3 Emissions:</w:t>
      </w:r>
      <w:r>
        <w:t xml:space="preserve"> </w:t>
      </w:r>
      <w:r>
        <w:t xml:space="preserve">9.7605 + 0.184 + 0.72 + 4.525 - 5.000 =</w:t>
      </w:r>
      <w:r>
        <w:t xml:space="preserve"> </w:t>
      </w:r>
      <w:r>
        <w:rPr>
          <w:bCs/>
          <w:b/>
        </w:rPr>
        <w:t xml:space="preserve">10.1895 kgCO2e</w:t>
      </w:r>
    </w:p>
    <w:p>
      <w:pPr>
        <w:pStyle w:val="BodyText"/>
      </w:pPr>
      <w:r>
        <w:rPr>
          <w:bCs/>
          <w:b/>
        </w:rPr>
        <w:t xml:space="preserve">Total PCF (Scope 1 + Scope 2 + Scope 3):</w:t>
      </w:r>
      <w:r>
        <w:t xml:space="preserve"> </w:t>
      </w:r>
      <w:r>
        <w:t xml:space="preserve">0.000 + 5.775 + 10.1895 =</w:t>
      </w:r>
      <w:r>
        <w:t xml:space="preserve"> </w:t>
      </w:r>
      <w:r>
        <w:rPr>
          <w:bCs/>
          <w:b/>
        </w:rPr>
        <w:t xml:space="preserve">15.9645 kgCO2e per unit of vkrytolsdw</w:t>
      </w:r>
    </w:p>
    <w:bookmarkEnd w:id="46"/>
    <w:bookmarkEnd w:id="47"/>
    <w:bookmarkStart w:id="48"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9.7605</w:t>
            </w:r>
          </w:p>
        </w:tc>
        <w:tc>
          <w:tcPr/>
          <w:p>
            <w:pPr>
              <w:pStyle w:val="Compact"/>
              <w:jc w:val="left"/>
            </w:pPr>
            <w:r>
              <w:t xml:space="preserve">61.14%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0.184</w:t>
            </w:r>
          </w:p>
        </w:tc>
        <w:tc>
          <w:tcPr/>
          <w:p>
            <w:pPr>
              <w:pStyle w:val="Compact"/>
              <w:jc w:val="left"/>
            </w:pPr>
            <w:r>
              <w:t xml:space="preserve">1.15%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5.775</w:t>
            </w:r>
          </w:p>
        </w:tc>
        <w:tc>
          <w:tcPr/>
          <w:p>
            <w:pPr>
              <w:pStyle w:val="Compact"/>
              <w:jc w:val="left"/>
            </w:pPr>
            <w:r>
              <w:t xml:space="preserve">36.17%</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0.72</w:t>
            </w:r>
          </w:p>
        </w:tc>
        <w:tc>
          <w:tcPr/>
          <w:p>
            <w:pPr>
              <w:pStyle w:val="Compact"/>
              <w:jc w:val="left"/>
            </w:pPr>
            <w:r>
              <w:t xml:space="preserve">4.51%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4.525</w:t>
            </w:r>
          </w:p>
        </w:tc>
        <w:tc>
          <w:tcPr/>
          <w:p>
            <w:pPr>
              <w:pStyle w:val="Compact"/>
              <w:jc w:val="left"/>
            </w:pPr>
            <w:r>
              <w:t xml:space="preserve">28.34%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-5.000</w:t>
            </w:r>
          </w:p>
        </w:tc>
        <w:tc>
          <w:tcPr/>
          <w:p>
            <w:pPr>
              <w:pStyle w:val="Compact"/>
              <w:jc w:val="left"/>
            </w:pPr>
            <w:r>
              <w:t xml:space="preserve">-31.32%</w:t>
            </w:r>
          </w:p>
        </w:tc>
      </w:tr>
      <w:tr>
        <w:tc>
          <w:tcPr>
            <w:gridSpan w:val="2"/>
          </w:tcPr>
          <w:p>
            <w:pPr>
              <w:pStyle w:val="Compact"/>
              <w:jc w:val="left"/>
            </w:pPr>
            <w:r>
              <w:t xml:space="preserve">Total Product Carbon Footprint</w:t>
            </w:r>
          </w:p>
        </w:tc>
        <w:tc>
          <w:tcPr/>
          <w:p>
            <w:pPr>
              <w:pStyle w:val="Compact"/>
              <w:jc w:val="left"/>
            </w:pPr>
            <w:r>
              <w:t xml:space="preserve">15.9645</w:t>
            </w:r>
          </w:p>
        </w:tc>
        <w:tc>
          <w:tcPr/>
          <w:p>
            <w:pPr>
              <w:pStyle w:val="Compact"/>
              <w:jc w:val="left"/>
            </w:pPr>
            <w:r>
              <w:t xml:space="preserve">100.00%</w:t>
            </w: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hotspot-identification"/>
    <w:p>
      <w:pPr>
        <w:pStyle w:val="Heading3"/>
      </w:pPr>
      <w:r>
        <w:t xml:space="preserve">Hotspot Identification:</w:t>
      </w:r>
    </w:p>
    <w:p>
      <w:pPr>
        <w:pStyle w:val="FirstParagraph"/>
      </w:pPr>
      <w:r>
        <w:t xml:space="preserve">The analysis identifies the following key emission hotspots for "vkrytolsdw":</w:t>
      </w:r>
    </w:p>
    <w:p>
      <w:pPr>
        <w:numPr>
          <w:ilvl w:val="0"/>
          <w:numId w:val="1015"/>
        </w:numPr>
        <w:pStyle w:val="Compact"/>
      </w:pPr>
      <w:r>
        <w:rPr>
          <w:bCs/>
          <w:b/>
        </w:rPr>
        <w:t xml:space="preserve">Raw Material Acquisition and Pre-processing (61.14%):</w:t>
      </w:r>
      <w:r>
        <w:t xml:space="preserve"> </w:t>
      </w:r>
      <w:r>
        <w:t xml:space="preserve">The production of materials, particularly the PCB, battery, ABS plastic, and steel, constitutes the largest portion of the product\'s carbon footprint. This highlights the importance of sustainable material sourcing and design for reducing impact.</w:t>
      </w:r>
    </w:p>
    <w:p>
      <w:pPr>
        <w:numPr>
          <w:ilvl w:val="0"/>
          <w:numId w:val="1015"/>
        </w:numPr>
        <w:pStyle w:val="Compact"/>
      </w:pPr>
      <w:r>
        <w:rPr>
          <w:bCs/>
          <w:b/>
        </w:rPr>
        <w:t xml:space="preserve">Manufacturing (36.17%):</w:t>
      </w:r>
      <w:r>
        <w:t xml:space="preserve"> </w:t>
      </w:r>
      <w:r>
        <w:t xml:space="preserve">Purchased electricity for manufacturing is a significant contributor, even with 30% renewable energy usage. Further decarbonization of the energy mix and energy efficiency improvements in production are critical.</w:t>
      </w:r>
    </w:p>
    <w:p>
      <w:pPr>
        <w:numPr>
          <w:ilvl w:val="0"/>
          <w:numId w:val="1015"/>
        </w:numPr>
        <w:pStyle w:val="Compact"/>
      </w:pPr>
      <w:r>
        <w:rPr>
          <w:bCs/>
          <w:b/>
        </w:rPr>
        <w:t xml:space="preserve">Use Phase (28.34%):</w:t>
      </w:r>
      <w:r>
        <w:t xml:space="preserve"> </w:t>
      </w:r>
      <w:r>
        <w:t xml:space="preserve">Energy consumption during the product\'s 5-year lifespan is also a major hotspot, driven by the EU electricity grid mix. Improving product energy efficiency is crucial.</w:t>
      </w:r>
    </w:p>
    <w:p>
      <w:pPr>
        <w:numPr>
          <w:ilvl w:val="0"/>
          <w:numId w:val="1015"/>
        </w:numPr>
        <w:pStyle w:val="Compact"/>
      </w:pPr>
      <w:r>
        <w:rPr>
          <w:bCs/>
          <w:b/>
        </w:rPr>
        <w:t xml:space="preserve">End-of-Life (Net Credit of -31.32%):</w:t>
      </w:r>
      <w:r>
        <w:t xml:space="preserve"> </w:t>
      </w:r>
      <w:r>
        <w:t xml:space="preserve">The high recyclability percentage provides a substantial environmental benefit by avoiding virgin material production, demonstrating the positive impact of circular economy principles.</w:t>
      </w:r>
    </w:p>
    <w:bookmarkEnd w:id="50"/>
    <w:bookmarkStart w:id="51" w:name="reliability-statement"/>
    <w:p>
      <w:pPr>
        <w:pStyle w:val="Heading3"/>
      </w:pPr>
      <w:r>
        <w:t xml:space="preserve">Reliability Statement:</w:t>
      </w:r>
    </w:p>
    <w:p>
      <w:pPr>
        <w:pStyle w:val="FirstParagraph"/>
      </w:pPr>
      <w:r>
        <w:t xml:space="preserve">This report is based on the GHG Protocol standards and utilizes a combination of provided specific parameters (as placeholders interpreted with reasonable assumptions) and industry-standard, publicly available emission factors (e.g., from IEA, DEFRA, Climatiq, IPCC guidelines). The detailed BOM structure allowed for a more granular material impact assessment. While efforts were made to use the most recent and relevant data, inherent uncertainties exist in all lifecycle assessments due to data variability, methodological choices, and the generic nature of some emission factors. The explicit mention of the accounting standard and a 95% Scope 3 coverage ensures a robust and comprehensive assessment within these limitations. The 2026 LSR Standard for Land Sector and Removals was acknowledged, noting its primary relevance for agricultural and bio-based products or carbon removal technologies, which are not dominant factors for this specific manufactured product based on the provided data.</w:t>
      </w:r>
    </w:p>
    <w:bookmarkEnd w:id="51"/>
    <w:bookmarkStart w:id="52" w:name="recommendations-for-reduction"/>
    <w:p>
      <w:pPr>
        <w:pStyle w:val="Heading3"/>
      </w:pPr>
      <w:r>
        <w:t xml:space="preserve">Recommendations for Reduction:</w:t>
      </w:r>
    </w:p>
    <w:p>
      <w:pPr>
        <w:pStyle w:val="FirstParagraph"/>
      </w:pPr>
      <w:r>
        <w:t xml:space="preserve">To significantly reduce the Product Carbon Footprint of "vkrytolsdw," nzmyfywzlx should focus on:</w:t>
      </w:r>
    </w:p>
    <w:p>
      <w:pPr>
        <w:numPr>
          <w:ilvl w:val="0"/>
          <w:numId w:val="1016"/>
        </w:numPr>
        <w:pStyle w:val="Compact"/>
      </w:pPr>
      <w:r>
        <w:rPr>
          <w:bCs/>
          <w:b/>
        </w:rPr>
        <w:t xml:space="preserve">Sustainable Material Sourcing:</w:t>
      </w:r>
      <w:r>
        <w:t xml:space="preserve"> </w:t>
      </w:r>
      <w:r>
        <w:t xml:space="preserve">Prioritize materials with lower embodied carbon, increase recycled content (especially for plastics, steel, and copper), and engage with suppliers to reduce their upstream emissions.</w:t>
      </w:r>
    </w:p>
    <w:p>
      <w:pPr>
        <w:numPr>
          <w:ilvl w:val="0"/>
          <w:numId w:val="1016"/>
        </w:numPr>
        <w:pStyle w:val="Compact"/>
      </w:pPr>
      <w:r>
        <w:rPr>
          <w:bCs/>
          <w:b/>
        </w:rPr>
        <w:t xml:space="preserve">Manufacturing Efficiency &amp; Renewable Energy:</w:t>
      </w:r>
      <w:r>
        <w:t xml:space="preserve"> </w:t>
      </w:r>
      <w:r>
        <w:t xml:space="preserve">Further increase the share of renewable energy in manufacturing operations in China. Implement advanced energy efficiency measures to reduce overall electricity consumption per unit.</w:t>
      </w:r>
    </w:p>
    <w:p>
      <w:pPr>
        <w:numPr>
          <w:ilvl w:val="0"/>
          <w:numId w:val="1016"/>
        </w:numPr>
        <w:pStyle w:val="Compact"/>
      </w:pPr>
      <w:r>
        <w:rPr>
          <w:bCs/>
          <w:b/>
        </w:rPr>
        <w:t xml:space="preserve">Product Energy Efficiency:</w:t>
      </w:r>
      <w:r>
        <w:t xml:space="preserve"> </w:t>
      </w:r>
      <w:r>
        <w:t xml:space="preserve">Design "vkrytolsdw" for minimal energy consumption during its use phase, as this is a significant downstream hotspot.</w:t>
      </w:r>
    </w:p>
    <w:p>
      <w:pPr>
        <w:numPr>
          <w:ilvl w:val="0"/>
          <w:numId w:val="1016"/>
        </w:numPr>
        <w:pStyle w:val="Compact"/>
      </w:pPr>
      <w:r>
        <w:rPr>
          <w:bCs/>
          <w:b/>
        </w:rPr>
        <w:t xml:space="preserve">Extended Product Lifespan &amp; Circularity:</w:t>
      </w:r>
      <w:r>
        <w:t xml:space="preserve"> </w:t>
      </w:r>
      <w:r>
        <w:t xml:space="preserve">Continue and expand circular design principles, including repairability, modularity, and take-back programs, to maximize material retention and minimize waste. The current recyclability already provides a substantial benefit.</w:t>
      </w:r>
    </w:p>
    <w:p>
      <w:pPr>
        <w:numPr>
          <w:ilvl w:val="0"/>
          <w:numId w:val="1016"/>
        </w:numPr>
        <w:pStyle w:val="Compact"/>
      </w:pPr>
      <w:r>
        <w:rPr>
          <w:bCs/>
          <w:b/>
        </w:rPr>
        <w:t xml:space="preserve">Optimized Logistics:</w:t>
      </w:r>
      <w:r>
        <w:t xml:space="preserve"> </w:t>
      </w:r>
      <w:r>
        <w:t xml:space="preserve">Explore opportunities to optimize transport routes, modes (e.g., shifting from air to rail where feasible), and load factors across the supply chain.</w: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vkrytolsdw</dc:title>
  <dc:creator/>
  <dc:description>High-detail Product Carbon Footprint (PCF) analysis report for vkrytolsdw, adhering to GHG Protocol standards and 2026 LSR update.</dc:description>
  <dc:language>en</dc:language>
  <cp:keywords/>
  <dcterms:created xsi:type="dcterms:W3CDTF">2026-05-30T12:41:31Z</dcterms:created>
  <dcterms:modified xsi:type="dcterms:W3CDTF">2026-05-30T12:41:31Z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