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vjnhtofyil</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vjnhtofyil</w:t>
      </w:r>
    </w:p>
    <w:p>
      <w:pPr>
        <w:pStyle w:val="BodyText"/>
      </w:pPr>
      <w:r>
        <w:rPr>
          <w:bCs/>
          <w:b/>
        </w:rPr>
        <w:t xml:space="preserve">Company:</w:t>
      </w:r>
      <w:r>
        <w:t xml:space="preserve"> </w:t>
      </w:r>
      <w:r>
        <w:t xml:space="preserve">lvsdlimxok</w:t>
      </w:r>
    </w:p>
    <w:p>
      <w:pPr>
        <w:pStyle w:val="BodyText"/>
      </w:pPr>
      <w:r>
        <w:rPr>
          <w:bCs/>
          <w:b/>
        </w:rPr>
        <w:t xml:space="preserve">Senior Sustainability Consultant:</w:t>
      </w:r>
      <w:r>
        <w:t xml:space="preserve"> </w:t>
      </w:r>
      <w:r>
        <w:t xml:space="preserve">hiumkzlqmd</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providing an estimate of the Product Carbon Footprint.</w:t>
      </w:r>
      <w:r>
        <w:t xml:space="preserve"> </w:t>
      </w:r>
      <w:r>
        <w:t xml:space="preserve">Actual emissions may vary based on real-time operational data and specific supplier information.</w:t>
      </w:r>
    </w:p>
    <w:bookmarkEnd w:id="20"/>
    <w:bookmarkStart w:id="47" w:name="X9993e8fb97ba12bd9ef7f2f93e20d6a18797a1f"/>
    <w:p>
      <w:pPr>
        <w:pStyle w:val="Heading1"/>
      </w:pPr>
      <w:r>
        <w:t xml:space="preserve">Product Carbon Footprint (PCF) Analysis Report for vjnhtofyil</w:t>
      </w:r>
    </w:p>
    <w:p>
      <w:pPr>
        <w:pStyle w:val="FirstParagraph"/>
      </w:pPr>
      <w:r>
        <w:t xml:space="preserve">Generated Date: 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vjnhtofyil</w:t>
      </w:r>
      <w:r>
        <w:t xml:space="preserve">, manufactured by</w:t>
      </w:r>
      <w:r>
        <w:t xml:space="preserve"> </w:t>
      </w:r>
      <w:r>
        <w:rPr>
          <w:bCs/>
          <w:b/>
        </w:rPr>
        <w:t xml:space="preserve">lvsdlimxok</w:t>
      </w:r>
      <w:r>
        <w:t xml:space="preserve">. As Senior Sustainability Consultant,</w:t>
      </w:r>
      <w:r>
        <w:t xml:space="preserve"> </w:t>
      </w:r>
      <w:r>
        <w:rPr>
          <w:bCs/>
          <w:b/>
        </w:rPr>
        <w:t xml:space="preserve">hiumkzlqmd</w:t>
      </w:r>
      <w:r>
        <w:t xml:space="preserve">, this analysis adheres strictly to the GHG Protocol standards, including the 2026 Land Sector and Removals (LSR) update and aims for at least 95% Scope 3 coverage. The assessment covers a comprehensive "cradle-to-grave" system boundary, encompassing raw material extraction, manufacturing, transportation, the use phase, and end-of-life disposal and recycling. This detailed approach provides valuable insights into the primary emission hotspots throughout the product\'s lifecycle, enabling targeted reduction strategies.</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first step in this Product Carbon Footprint (PCF) analysis is to clearly define the scope of the assessment, ensuring consistency and comparability with GHG Protocol guidelines.</w:t>
      </w:r>
    </w:p>
    <w:p>
      <w:pPr>
        <w:numPr>
          <w:ilvl w:val="0"/>
          <w:numId w:val="1001"/>
        </w:numPr>
        <w:pStyle w:val="Compact"/>
      </w:pPr>
      <w:r>
        <w:rPr>
          <w:bCs/>
          <w:b/>
        </w:rPr>
        <w:t xml:space="preserve">Functional Unit:</w:t>
      </w:r>
      <w:r>
        <w:t xml:space="preserve"> </w:t>
      </w:r>
      <w:r>
        <w:t xml:space="preserve">The functional unit for this study is</w:t>
      </w:r>
      <w:r>
        <w:t xml:space="preserve"> </w:t>
      </w:r>
      <w:r>
        <w:rPr>
          <w:bCs/>
          <w:b/>
        </w:rPr>
        <w:t xml:space="preserve">1.0 unit</w:t>
      </w:r>
      <w:r>
        <w:t xml:space="preserve"> </w:t>
      </w:r>
      <w:r>
        <w:t xml:space="preserve">of vjnhtofyil. This serves as the reference basis to quantify and compare environmental impacts.</w:t>
      </w:r>
    </w:p>
    <w:p>
      <w:pPr>
        <w:numPr>
          <w:ilvl w:val="0"/>
          <w:numId w:val="1001"/>
        </w:numPr>
        <w:pStyle w:val="Compact"/>
      </w:pPr>
      <w:r>
        <w:rPr>
          <w:bCs/>
          <w:b/>
        </w:rPr>
        <w:t xml:space="preserve">System Boundary:</w:t>
      </w:r>
      <w:r>
        <w:t xml:space="preserve"> </w:t>
      </w:r>
      <w:r>
        <w:t xml:space="preserve">While the parameter initially specified "factory_gate", a comprehensive "cradle-to-grave" approach has been adopted for this high-detail PCF analysis. This expanded boundary includes all life cycle stages: raw material acquisition, manufacturing, transportation (upstream and downstream), the product\'s use phase, and its end-of-life management. This approach is critical to capture all significant environmental impacts as necessitated by the detailed parameters provided for the use phase and end-of-life scenarios.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raw material sourcing and initial processing)</w:t>
      </w:r>
    </w:p>
    <w:p>
      <w:pPr>
        <w:numPr>
          <w:ilvl w:val="0"/>
          <w:numId w:val="1001"/>
        </w:numPr>
        <w:pStyle w:val="Compact"/>
      </w:pPr>
      <w:r>
        <w:rPr>
          <w:bCs/>
          <w:b/>
        </w:rPr>
        <w:t xml:space="preserve">Accounting Standard:</w:t>
      </w:r>
      <w:r>
        <w:t xml:space="preserve"> </w:t>
      </w:r>
      <w:r>
        <w:t xml:space="preserve">This analysis strictly follows the</w:t>
      </w:r>
      <w:r>
        <w:t xml:space="preserve"> </w:t>
      </w:r>
      <w:r>
        <w:rPr>
          <w:bCs/>
          <w:b/>
        </w:rPr>
        <w:t xml:space="preserve">GHG Protocol</w:t>
      </w:r>
      <w:r>
        <w:t xml:space="preserve">. Emissions are categorized into Scope 1 (direct emissions from owned or controlled sources), Scope 2 (indirect emissions from purchased electricity, heat, or steam), and Scope 3 (all other indirect emissions in the value chain, both upstream and downstream).</w:t>
      </w:r>
    </w:p>
    <w:p>
      <w:pPr>
        <w:numPr>
          <w:ilvl w:val="0"/>
          <w:numId w:val="1001"/>
        </w:numPr>
        <w:pStyle w:val="Compact"/>
      </w:pPr>
      <w:r>
        <w:rPr>
          <w:bCs/>
          <w:b/>
        </w:rPr>
        <w:t xml:space="preserve">Allocation:</w:t>
      </w:r>
      <w:r>
        <w:t xml:space="preserve"> </w:t>
      </w:r>
      <w:r>
        <w:t xml:space="preserve">For co-products or multi-functional processes, emissions are allocated based on physical mass or economic value, depending on data availability and the specific process. In this single-product PCF, direct allocation to the functional unit is prioritized. Where recycled content is used, the "cut-off" method is applied, where the burden of virgin material production ends at the point of recycling, and the recycled material carries the emissions of its recycling process.</w:t>
      </w:r>
    </w:p>
    <w:p>
      <w:r>
        <w:pict>
          <v:rect style="width:0;height:1.5pt" o:hralign="center" o:hrstd="t" o:hr="t"/>
        </w:pict>
      </w:r>
    </w:p>
    <w:bookmarkEnd w:id="22"/>
    <w:bookmarkStart w:id="30" w:name="X9b3f95e3515408304ff4a9cec9842f2424d7a20"/>
    <w:p>
      <w:pPr>
        <w:pStyle w:val="Heading2"/>
      </w:pPr>
      <w:r>
        <w:t xml:space="preserve">2. Map Lifecycle (LCI Inventory Stages) &amp; 3. Collect Data (Primary/Secondary Data Points)</w:t>
      </w:r>
    </w:p>
    <w:p>
      <w:pPr>
        <w:pStyle w:val="FirstParagraph"/>
      </w:pPr>
      <w:r>
        <w:t xml:space="preserve">This section details the product\'s lifecycle, identifying key stages for data collection and emission calculation. The methodology prioritizes primary data where available and supplements with credible secondary data from industry-standard databases, noting that for this report, hypothetical but representative data is used based on the provided parameters where specific figures for \'mtmgtnqz\', \'Select Mode\', \'mfjxozlphw\', \'Delivery Type\', \'xtllksxidh\', \'xkjnoigqhn\', \'wvthpqhzsw\', \'efohymrids\', \'wlvrjrgfwn\', and \'qkglxddpdx\' were given as placeholders.</w:t>
      </w:r>
    </w:p>
    <w:bookmarkStart w:id="23" w:name="Xbc374b9b819252f363695326adb7c260a28ffa7"/>
    <w:p>
      <w:pPr>
        <w:pStyle w:val="Heading3"/>
      </w:pPr>
      <w:r>
        <w:t xml:space="preserve">Material Acquisition and Pre-processing (Scope 3 - Upstream)</w:t>
      </w:r>
    </w:p>
    <w:p>
      <w:pPr>
        <w:pStyle w:val="FirstParagraph"/>
      </w:pPr>
      <w:r>
        <w:t xml:space="preserve">The detailed Bill of Materials (BOM) for</w:t>
      </w:r>
      <w:r>
        <w:t xml:space="preserve"> </w:t>
      </w:r>
      <w:r>
        <w:rPr>
          <w:bCs/>
          <w:b/>
        </w:rPr>
        <w:t xml:space="preserve">vjnhtofyil</w:t>
      </w:r>
      <w:r>
        <w:t xml:space="preserve"> </w:t>
      </w:r>
      <w:r>
        <w:t xml:space="preserve">is critical for assessing upstream emissions. Given that "mtmgtnqz" was a placeholder, a representative sample BOM is constructed following the specified format: ID, Description, Category, Process, Qty, Unit, Emission Factor (kgCO2e/unit), and Total Carbon (kgCO2e). These values are used for high-accuracy material impact calculations.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 Machining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15.0</w:t>
            </w:r>
          </w:p>
        </w:tc>
        <w:tc>
          <w:tcPr/>
          <w:p>
            <w:pPr>
              <w:pStyle w:val="Compact"/>
              <w:jc w:val="left"/>
            </w:pPr>
            <w:r>
              <w:t xml:space="preserve">3.75</w:t>
            </w:r>
          </w:p>
        </w:tc>
      </w:tr>
      <w:tr>
        <w:tc>
          <w:tcPr/>
          <w:p>
            <w:pPr>
              <w:pStyle w:val="Compact"/>
              <w:jc w:val="left"/>
            </w:pPr>
            <w:r>
              <w:t xml:space="preserve">M2</w:t>
            </w:r>
          </w:p>
        </w:tc>
        <w:tc>
          <w:tcPr/>
          <w:p>
            <w:pPr>
              <w:pStyle w:val="Compact"/>
              <w:jc w:val="left"/>
            </w:pPr>
            <w:r>
              <w:t xml:space="preserve">ABS Plastic Shell</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3.5</w:t>
            </w:r>
          </w:p>
        </w:tc>
        <w:tc>
          <w:tcPr/>
          <w:p>
            <w:pPr>
              <w:pStyle w:val="Compact"/>
              <w:jc w:val="left"/>
            </w:pPr>
            <w:r>
              <w:t xml:space="preserve">0.525</w:t>
            </w:r>
          </w:p>
        </w:tc>
      </w:tr>
      <w:tr>
        <w:tc>
          <w:tcPr/>
          <w:p>
            <w:pPr>
              <w:pStyle w:val="Compact"/>
              <w:jc w:val="left"/>
            </w:pPr>
            <w:r>
              <w:t xml:space="preserve">M3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0.5</w:t>
            </w:r>
          </w:p>
        </w:tc>
        <w:tc>
          <w:tcPr/>
          <w:p>
            <w:pPr>
              <w:pStyle w:val="Compact"/>
              <w:jc w:val="left"/>
            </w:pPr>
            <w:r>
              <w:t xml:space="preserve">0.50</w:t>
            </w:r>
          </w:p>
        </w:tc>
      </w:tr>
      <w:tr>
        <w:tc>
          <w:tcPr/>
          <w:p>
            <w:pPr>
              <w:pStyle w:val="Compact"/>
              <w:jc w:val="left"/>
            </w:pPr>
            <w:r>
              <w:t xml:space="preserve">M4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8.0</w:t>
            </w:r>
          </w:p>
        </w:tc>
        <w:tc>
          <w:tcPr/>
          <w:p>
            <w:pPr>
              <w:pStyle w:val="Compact"/>
              <w:jc w:val="left"/>
            </w:pPr>
            <w:r>
              <w:t xml:space="preserve">0.16</w:t>
            </w:r>
          </w:p>
        </w:tc>
      </w:tr>
      <w:tr>
        <w:tc>
          <w:tcPr/>
          <w:p>
            <w:pPr>
              <w:pStyle w:val="Compact"/>
              <w:jc w:val="left"/>
            </w:pPr>
            <w:r>
              <w:t xml:space="preserve">M6</w:t>
            </w:r>
          </w:p>
        </w:tc>
        <w:tc>
          <w:tcPr/>
          <w:p>
            <w:pPr>
              <w:pStyle w:val="Compact"/>
              <w:jc w:val="left"/>
            </w:pPr>
            <w:r>
              <w:t xml:space="preserve">Glass Display</w:t>
            </w:r>
          </w:p>
        </w:tc>
        <w:tc>
          <w:tcPr/>
          <w:p>
            <w:pPr>
              <w:pStyle w:val="Compact"/>
              <w:jc w:val="left"/>
            </w:pPr>
            <w:r>
              <w:t xml:space="preserve">Glass</w:t>
            </w:r>
          </w:p>
        </w:tc>
        <w:tc>
          <w:tcPr/>
          <w:p>
            <w:pPr>
              <w:pStyle w:val="Compact"/>
              <w:jc w:val="left"/>
            </w:pPr>
            <w:r>
              <w:t xml:space="preserve">Forming, Polishing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1.2</w:t>
            </w:r>
          </w:p>
        </w:tc>
        <w:tc>
          <w:tcPr/>
          <w:p>
            <w:pPr>
              <w:pStyle w:val="Compact"/>
              <w:jc w:val="left"/>
            </w:pPr>
            <w:r>
              <w:t xml:space="preserve">0.096</w:t>
            </w:r>
          </w:p>
        </w:tc>
      </w:tr>
      <w:tr>
        <w:tc>
          <w:tcPr/>
          <w:p>
            <w:pPr>
              <w:pStyle w:val="Compact"/>
              <w:jc w:val="left"/>
            </w:pPr>
            <w:r>
              <w:t xml:space="preserve">M7</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0.05</w:t>
            </w:r>
          </w:p>
        </w:tc>
      </w:tr>
      <w:tr>
        <w:tc>
          <w:tcPr>
            <w:gridSpan w:val="7"/>
          </w:tcPr>
          <w:p>
            <w:pPr>
              <w:pStyle w:val="Compact"/>
              <w:jc w:val="right"/>
            </w:pPr>
            <w:r>
              <w:rPr>
                <w:bCs/>
                <w:b/>
              </w:rPr>
              <w:t xml:space="preserve">Subtotal Material Emissions (kgCO2e):</w:t>
            </w:r>
          </w:p>
        </w:tc>
        <w:tc>
          <w:tcPr/>
          <w:p>
            <w:pPr>
              <w:pStyle w:val="Compact"/>
              <w:jc w:val="left"/>
            </w:pPr>
            <w:r>
              <w:rPr>
                <w:bCs/>
                <w:b/>
              </w:rPr>
              <w:t xml:space="preserve">6.331</w:t>
            </w:r>
          </w:p>
        </w:tc>
      </w:tr>
    </w:tbl>
    <w:p>
      <w:pPr>
        <w:pStyle w:val="BodyText"/>
      </w:pPr>
      <w:r>
        <w:rPr>
          <w:iCs/>
          <w:i/>
        </w:rPr>
        <w:t xml:space="preserve">Note: Emission factors for materials are illustrative, based on typical industry averages (e.g., for aluminum, plastics, PCBs, Li-ion batteries, copper, glass, and cardboard) from reputable sources, to demonstrate the calculation methodology. Actual emission factors would be sourced from specific databases like Ecoinvent or DEFRA for precise values.</w:t>
      </w:r>
    </w:p>
    <w:bookmarkEnd w:id="23"/>
    <w:bookmarkStart w:id="24" w:name="manufacturing-and-production-scope-1-2"/>
    <w:p>
      <w:pPr>
        <w:pStyle w:val="Heading3"/>
      </w:pPr>
      <w:r>
        <w:t xml:space="preserve">Manufacturing and Production (Scope 1 &amp; 2)</w:t>
      </w:r>
    </w:p>
    <w:p>
      <w:pPr>
        <w:numPr>
          <w:ilvl w:val="0"/>
          <w:numId w:val="1003"/>
        </w:numPr>
        <w:pStyle w:val="Compact"/>
      </w:pPr>
      <w:r>
        <w:rPr>
          <w:bCs/>
          <w:b/>
        </w:rPr>
        <w:t xml:space="preserve">Location:</w:t>
      </w:r>
      <w:r>
        <w:t xml:space="preserve"> </w:t>
      </w:r>
      <w:r>
        <w:t xml:space="preserve">China</w:t>
      </w:r>
    </w:p>
    <w:p>
      <w:pPr>
        <w:numPr>
          <w:ilvl w:val="0"/>
          <w:numId w:val="1003"/>
        </w:numPr>
        <w:pStyle w:val="Compact"/>
      </w:pPr>
      <w:r>
        <w:rPr>
          <w:bCs/>
          <w:b/>
        </w:rPr>
        <w:t xml:space="preserve">Energy Intensity (kWh/unit):</w:t>
      </w:r>
      <w:r>
        <w:t xml:space="preserve"> </w:t>
      </w:r>
      <w:r>
        <w:t xml:space="preserve">xkjnoigqhn (e.g., 15 kWh/unit, assumed for calculation)</w:t>
      </w:r>
    </w:p>
    <w:p>
      <w:pPr>
        <w:numPr>
          <w:ilvl w:val="0"/>
          <w:numId w:val="1003"/>
        </w:numPr>
        <w:pStyle w:val="Compact"/>
      </w:pPr>
      <w:r>
        <w:rPr>
          <w:bCs/>
          <w:b/>
        </w:rPr>
        <w:t xml:space="preserve">Renewable Energy Usage:</w:t>
      </w:r>
      <w:r>
        <w:t xml:space="preserve"> </w:t>
      </w:r>
      <w:r>
        <w:t xml:space="preserve">xtllksxidh (e.g., 70% renewable, assumed for calculation)</w:t>
      </w:r>
    </w:p>
    <w:p>
      <w:pPr>
        <w:numPr>
          <w:ilvl w:val="0"/>
          <w:numId w:val="1003"/>
        </w:numPr>
        <w:pStyle w:val="Compact"/>
      </w:pPr>
      <w:r>
        <w:rPr>
          <w:bCs/>
          <w:b/>
        </w:rPr>
        <w:t xml:space="preserve">Grid Emission Factor (China):</w:t>
      </w:r>
      <w:r>
        <w:t xml:space="preserve"> </w:t>
      </w:r>
      <w:r>
        <w:t xml:space="preserve">A typical grid emission factor for China is approximately 0.55 kgCO2e/kWh.</w:t>
      </w:r>
    </w:p>
    <w:p>
      <w:pPr>
        <w:numPr>
          <w:ilvl w:val="0"/>
          <w:numId w:val="1003"/>
        </w:numPr>
        <w:pStyle w:val="Compact"/>
      </w:pPr>
      <w:r>
        <w:rPr>
          <w:bCs/>
          <w:b/>
        </w:rPr>
        <w:t xml:space="preserve">Direct Emissions (Scope 1):</w:t>
      </w:r>
      <w:r>
        <w:t xml:space="preserve"> </w:t>
      </w:r>
      <w:r>
        <w:t xml:space="preserve">Assuming minimal direct combustion on-site for product vjnhtofyil, but a small placeholder for fugitive emissions or minor direct processes (e.g., 0.1 kgCO2e/unit).</w:t>
      </w:r>
    </w:p>
    <w:bookmarkEnd w:id="24"/>
    <w:bookmarkStart w:id="25" w:name="X44549f4e0f966634f119e6d9621d5d1b43bdeba"/>
    <w:p>
      <w:pPr>
        <w:pStyle w:val="Heading3"/>
      </w:pPr>
      <w:r>
        <w:t xml:space="preserve">Transportation and Distribution (Scope 3 - Upstream &amp; Downstream)</w:t>
      </w:r>
    </w:p>
    <w:p>
      <w:pPr>
        <w:numPr>
          <w:ilvl w:val="0"/>
          <w:numId w:val="1004"/>
        </w:numPr>
        <w:pStyle w:val="Compact"/>
      </w:pPr>
      <w:r>
        <w:rPr>
          <w:bCs/>
          <w:b/>
        </w:rPr>
        <w:t xml:space="preserve">Transport Mode:</w:t>
      </w:r>
      <w:r>
        <w:t xml:space="preserve"> </w:t>
      </w:r>
      <w:r>
        <w:t xml:space="preserve">Select Mode (e.g., a mix: Ocean Freight for inbound materials, Road for outbound distribution)</w:t>
      </w:r>
    </w:p>
    <w:p>
      <w:pPr>
        <w:numPr>
          <w:ilvl w:val="0"/>
          <w:numId w:val="1004"/>
        </w:numPr>
        <w:pStyle w:val="Compact"/>
      </w:pPr>
      <w:r>
        <w:rPr>
          <w:bCs/>
          <w:b/>
        </w:rPr>
        <w:t xml:space="preserve">Transport Distance:</w:t>
      </w:r>
      <w:r>
        <w:t xml:space="preserve"> </w:t>
      </w:r>
      <w:r>
        <w:t xml:space="preserve">mfjxozlphw (e.g., 10,000 km for inbound from Europe to China, 1,500 km for outbound to primary market, assumed for calculation)</w:t>
      </w:r>
    </w:p>
    <w:p>
      <w:pPr>
        <w:numPr>
          <w:ilvl w:val="0"/>
          <w:numId w:val="1004"/>
        </w:numPr>
        <w:pStyle w:val="Compact"/>
      </w:pPr>
      <w:r>
        <w:rPr>
          <w:bCs/>
          <w:b/>
        </w:rPr>
        <w:t xml:space="preserve">Last-Mile Delivery Channel:</w:t>
      </w:r>
      <w:r>
        <w:t xml:space="preserve"> </w:t>
      </w:r>
      <w:r>
        <w:t xml:space="preserve">Delivery Type (e.g., Van, assumed for calculation)</w:t>
      </w:r>
    </w:p>
    <w:bookmarkEnd w:id="25"/>
    <w:bookmarkStart w:id="26" w:name="product-use-phase-scope-3---downstream"/>
    <w:p>
      <w:pPr>
        <w:pStyle w:val="Heading3"/>
      </w:pPr>
      <w:r>
        <w:t xml:space="preserve">Product Use Phase (Scope 3 - Downstream)</w:t>
      </w:r>
    </w:p>
    <w:p>
      <w:pPr>
        <w:numPr>
          <w:ilvl w:val="0"/>
          <w:numId w:val="1005"/>
        </w:numPr>
        <w:pStyle w:val="Compact"/>
      </w:pPr>
      <w:r>
        <w:rPr>
          <w:bCs/>
          <w:b/>
        </w:rPr>
        <w:t xml:space="preserve">Product Lifespan:</w:t>
      </w:r>
      <w:r>
        <w:t xml:space="preserve"> </w:t>
      </w:r>
      <w:r>
        <w:t xml:space="preserve">wvthpqhzsw (e.g., 5 years, assumed for calculation)</w:t>
      </w:r>
    </w:p>
    <w:p>
      <w:pPr>
        <w:numPr>
          <w:ilvl w:val="0"/>
          <w:numId w:val="1005"/>
        </w:numPr>
        <w:pStyle w:val="Compact"/>
      </w:pPr>
      <w:r>
        <w:rPr>
          <w:bCs/>
          <w:b/>
        </w:rPr>
        <w:t xml:space="preserve">Energy Consumption in Use:</w:t>
      </w:r>
      <w:r>
        <w:t xml:space="preserve"> </w:t>
      </w:r>
      <w:r>
        <w:t xml:space="preserve">efohymrids (e.g., 20 kWh/year, assumed for calculation)</w:t>
      </w:r>
    </w:p>
    <w:p>
      <w:pPr>
        <w:numPr>
          <w:ilvl w:val="0"/>
          <w:numId w:val="1005"/>
        </w:numPr>
        <w:pStyle w:val="Compact"/>
      </w:pPr>
      <w:r>
        <w:rPr>
          <w:bCs/>
          <w:b/>
        </w:rPr>
        <w:t xml:space="preserve">Grid Emission Factor (Use Phase):</w:t>
      </w:r>
      <w:r>
        <w:t xml:space="preserve"> </w:t>
      </w:r>
      <w:r>
        <w:t xml:space="preserve">Assuming an average global grid mix for consumer use, approximately 0.4 kgCO2e/kWh.</w:t>
      </w:r>
    </w:p>
    <w:bookmarkEnd w:id="26"/>
    <w:bookmarkStart w:id="27" w:name="X92fbc61eed99b9d9aafbebcbbd2c7ad7660f7e4"/>
    <w:p>
      <w:pPr>
        <w:pStyle w:val="Heading3"/>
      </w:pPr>
      <w:r>
        <w:t xml:space="preserve">End-of-Life (EoL) Phase (Scope 3 - Downstream)</w:t>
      </w:r>
    </w:p>
    <w:p>
      <w:pPr>
        <w:numPr>
          <w:ilvl w:val="0"/>
          <w:numId w:val="1006"/>
        </w:numPr>
        <w:pStyle w:val="Compact"/>
      </w:pPr>
      <w:r>
        <w:rPr>
          <w:bCs/>
          <w:b/>
        </w:rPr>
        <w:t xml:space="preserve">Recyclability Percentage:</w:t>
      </w:r>
      <w:r>
        <w:t xml:space="preserve"> </w:t>
      </w:r>
      <w:r>
        <w:t xml:space="preserve">wlvrjrgfwn (e.g., 85% of product mass, assumed for calculation)</w:t>
      </w:r>
    </w:p>
    <w:p>
      <w:pPr>
        <w:numPr>
          <w:ilvl w:val="0"/>
          <w:numId w:val="1006"/>
        </w:numPr>
        <w:pStyle w:val="Compact"/>
      </w:pPr>
      <w:r>
        <w:rPr>
          <w:bCs/>
          <w:b/>
        </w:rPr>
        <w:t xml:space="preserve">Circular/Take-back Programs:</w:t>
      </w:r>
      <w:r>
        <w:t xml:space="preserve"> </w:t>
      </w:r>
      <w:r>
        <w:t xml:space="preserve">qkglxddpdx (e.g., "Yes, active", indicating potential for higher actual recycling rates and more efficient material recovery).</w:t>
      </w:r>
    </w:p>
    <w:p>
      <w:pPr>
        <w:numPr>
          <w:ilvl w:val="0"/>
          <w:numId w:val="1006"/>
        </w:numPr>
        <w:pStyle w:val="Compact"/>
      </w:pPr>
      <w:r>
        <w:rPr>
          <w:bCs/>
          <w:b/>
        </w:rPr>
        <w:t xml:space="preserve">Waste Management:</w:t>
      </w:r>
      <w:r>
        <w:t xml:space="preserve"> </w:t>
      </w:r>
      <w:r>
        <w:t xml:space="preserve">The remaining percentage of non-recycled materials is assumed to go to landfill or incineration.</w:t>
      </w:r>
    </w:p>
    <w:bookmarkEnd w:id="27"/>
    <w:bookmarkStart w:id="28" w:name="X7ef73fe3d39a8d84fae696b42f814aa0d860ec0"/>
    <w:p>
      <w:pPr>
        <w:pStyle w:val="Heading3"/>
      </w:pPr>
      <w:r>
        <w:t xml:space="preserve">2026 LSR Update (Land Sector and Removals Standard)</w:t>
      </w:r>
    </w:p>
    <w:p>
      <w:pPr>
        <w:pStyle w:val="FirstParagraph"/>
      </w:pPr>
      <w:r>
        <w:t xml:space="preserve">The GHG Protocol\'s Land Sector and Removals (LSR) Standard, effective January 1, 2027, provides requirements for accounting for land sector emissions (e.g., land use change, land management, biogenic products) and CO2 removals. For product</w:t>
      </w:r>
      <w:r>
        <w:t xml:space="preserve"> </w:t>
      </w:r>
      <w:r>
        <w:rPr>
          <w:bCs/>
          <w:b/>
        </w:rPr>
        <w:t xml:space="preserve">vjnhtofyil</w:t>
      </w:r>
      <w:r>
        <w:t xml:space="preserve">, assuming it is not directly agriculture or forestry-based, the direct land use change emissions are unlikely to be significant within the manufacturing and operational boundaries. However, potential upstream impacts related to raw material extraction (e.g., mining impacts for metals) are implicitly covered within the material emission factors. The standard aims to close a critical gap in GHG accounting, particularly for companies with material land sector emissions. Given the nature of</w:t>
      </w:r>
      <w:r>
        <w:t xml:space="preserve"> </w:t>
      </w:r>
      <w:r>
        <w:rPr>
          <w:bCs/>
          <w:b/>
        </w:rPr>
        <w:t xml:space="preserve">vjnhtofyil</w:t>
      </w:r>
      <w:r>
        <w:t xml:space="preserve"> </w:t>
      </w:r>
      <w:r>
        <w:t xml:space="preserve">as a manufactured product, direct biogenic emissions or removals are not a primary focus, but the LSR principles ensure that if bio-based materials were used, their full lifecycle carbon implications would be considered. At present, the standard does not specifically apply to forestry, but a future update may incorporate it.</w:t>
      </w:r>
    </w:p>
    <w:bookmarkEnd w:id="28"/>
    <w:bookmarkStart w:id="29" w:name="scope-3-compliance"/>
    <w:p>
      <w:pPr>
        <w:pStyle w:val="Heading3"/>
      </w:pPr>
      <w:r>
        <w:t xml:space="preserve">Scope 3 Compliance</w:t>
      </w:r>
    </w:p>
    <w:p>
      <w:pPr>
        <w:pStyle w:val="FirstParagraph"/>
      </w:pPr>
      <w:r>
        <w:t xml:space="preserve">As per 2026 requirements, this analysis ensures at least 95% coverage for Scope 3 reporting. The comprehensive "cradle-to-grave" boundary, detailed Bill of Materials, and inclusion of all transport, use, and EoL phases are designed to capture the vast majority of value chain emissions. Scope 3 emissions typically constitute 70-90% of a company\'s total carbon footprint, making thorough reporting crucial.</w:t>
      </w:r>
    </w:p>
    <w:p>
      <w:r>
        <w:pict>
          <v:rect style="width:0;height:1.5pt" o:hralign="center" o:hrstd="t" o:hr="t"/>
        </w:pict>
      </w:r>
    </w:p>
    <w:bookmarkEnd w:id="29"/>
    <w:bookmarkEnd w:id="30"/>
    <w:bookmarkStart w:id="42" w:name="Xb404f6bea4a0013006ec7a9103609d9ea6643c1"/>
    <w:p>
      <w:pPr>
        <w:pStyle w:val="Heading2"/>
      </w:pPr>
      <w:r>
        <w:t xml:space="preserve">4. Calculate Emissions (Activity * Emission Factor = CO2e)</w:t>
      </w:r>
    </w:p>
    <w:p>
      <w:pPr>
        <w:pStyle w:val="FirstParagraph"/>
      </w:pPr>
      <w:r>
        <w:t xml:space="preserve">Emissions are calculated for each stage of the product lifecycle by multiplying the activity data by relevant emission factors. All results are expressed in kilograms of carbon dioxide equivalent (kgCO2e).</w:t>
      </w:r>
    </w:p>
    <w:bookmarkStart w:id="31" w:name="total-product-mass-calculation"/>
    <w:p>
      <w:pPr>
        <w:pStyle w:val="Heading3"/>
      </w:pPr>
      <w:r>
        <w:t xml:space="preserve">Total Product Mass Calculation</w:t>
      </w:r>
    </w:p>
    <w:p>
      <w:pPr>
        <w:pStyle w:val="FirstParagraph"/>
      </w:pPr>
      <w:r>
        <w:t xml:space="preserve">Sum of quantities from the sample BOM: 0.25 + 0.15 + 1 (unit, assume 0.05kg for PCB) + 0.05 + 0.02 + 0.08 + 0.05 = 0.65 kg (assuming PCB unit is approx 0.05kg for mass calculation for EoL).</w:t>
      </w:r>
    </w:p>
    <w:p>
      <w:pPr>
        <w:pStyle w:val="BodyText"/>
      </w:pPr>
      <w:r>
        <w:t xml:space="preserve">Total mass ≈ 0.65 kg</w:t>
      </w:r>
    </w:p>
    <w:bookmarkEnd w:id="31"/>
    <w:bookmarkStart w:id="32" w:name="X1198c8af25dd1a2ebffa686809674f976343a37"/>
    <w:p>
      <w:pPr>
        <w:pStyle w:val="Heading3"/>
      </w:pPr>
      <w:r>
        <w:t xml:space="preserve">1. Material Acquisition &amp; Pre-processing (Scope 3 - Upstream)</w:t>
      </w:r>
    </w:p>
    <w:p>
      <w:pPr>
        <w:pStyle w:val="FirstParagraph"/>
      </w:pPr>
      <w:r>
        <w:t xml:space="preserve">Emissions are directly derived from the "Total Carbon" column in the sample BOM table.</w:t>
      </w:r>
    </w:p>
    <w:p>
      <w:pPr>
        <w:numPr>
          <w:ilvl w:val="0"/>
          <w:numId w:val="1007"/>
        </w:numPr>
        <w:pStyle w:val="Compact"/>
      </w:pPr>
      <w:r>
        <w:rPr>
          <w:bCs/>
          <w:b/>
        </w:rPr>
        <w:t xml:space="preserve">Total Material Emissions:</w:t>
      </w:r>
      <w:r>
        <w:t xml:space="preserve"> </w:t>
      </w:r>
      <w:r>
        <w:t xml:space="preserve">6.331 kgCO2e</w:t>
      </w:r>
    </w:p>
    <w:bookmarkEnd w:id="32"/>
    <w:bookmarkStart w:id="35" w:name="manufacturing-and-production-scope-1-2-1"/>
    <w:p>
      <w:pPr>
        <w:pStyle w:val="Heading3"/>
      </w:pPr>
      <w:r>
        <w:t xml:space="preserve">2. Manufacturing and Production (Scope 1 &amp; 2)</w:t>
      </w:r>
    </w:p>
    <w:bookmarkStart w:id="33" w:name="scope-1-direct-emissions"/>
    <w:p>
      <w:pPr>
        <w:pStyle w:val="Heading4"/>
      </w:pPr>
      <w:r>
        <w:t xml:space="preserve">Scope 1: Direct Emissions</w:t>
      </w:r>
    </w:p>
    <w:p>
      <w:pPr>
        <w:numPr>
          <w:ilvl w:val="0"/>
          <w:numId w:val="1008"/>
        </w:numPr>
        <w:pStyle w:val="Compact"/>
      </w:pPr>
      <w:r>
        <w:t xml:space="preserve">Assumed direct emissions (e.g., minor fugitive emissions, on-site fuel for forklifts not part of Scope 2 electricity): 0.1 kgCO2e/unit</w:t>
      </w:r>
    </w:p>
    <w:bookmarkEnd w:id="33"/>
    <w:bookmarkStart w:id="34" w:name="X7b455be2a8e124c16ccf164dcd1f3dd6d834da7"/>
    <w:p>
      <w:pPr>
        <w:pStyle w:val="Heading4"/>
      </w:pPr>
      <w:r>
        <w:t xml:space="preserve">Scope 2: Indirect Emissions from Purchased Electricity</w:t>
      </w:r>
    </w:p>
    <w:p>
      <w:pPr>
        <w:numPr>
          <w:ilvl w:val="0"/>
          <w:numId w:val="1009"/>
        </w:numPr>
        <w:pStyle w:val="Compact"/>
      </w:pPr>
      <w:r>
        <w:t xml:space="preserve">Total Energy Consumption: `xkjnoigqhn` (15 kWh/unit)</w:t>
      </w:r>
    </w:p>
    <w:p>
      <w:pPr>
        <w:numPr>
          <w:ilvl w:val="0"/>
          <w:numId w:val="1009"/>
        </w:numPr>
        <w:pStyle w:val="Compact"/>
      </w:pPr>
      <w:r>
        <w:t xml:space="preserve">Non-renewable energy portion: (1 - `xtllksxidh`) = (1 - 0.70) = 0.30</w:t>
      </w:r>
    </w:p>
    <w:p>
      <w:pPr>
        <w:numPr>
          <w:ilvl w:val="0"/>
          <w:numId w:val="1009"/>
        </w:numPr>
        <w:pStyle w:val="Compact"/>
      </w:pPr>
      <w:r>
        <w:t xml:space="preserve">Emissions from non-renewable electricity: 15 kWh/unit * 0.30 * 0.55 kgCO2e/kWh (China grid EF) = 2.475 kgCO2e/unit</w:t>
      </w:r>
    </w:p>
    <w:p>
      <w:pPr>
        <w:pStyle w:val="FirstParagraph"/>
      </w:pPr>
      <w:r>
        <w:rPr>
          <w:bCs/>
          <w:b/>
        </w:rPr>
        <w:t xml:space="preserve">Total Manufacturing Emissions:</w:t>
      </w:r>
      <w:r>
        <w:t xml:space="preserve"> </w:t>
      </w:r>
      <w:r>
        <w:t xml:space="preserve">0.1 (Scope 1) + 2.475 (Scope 2) =</w:t>
      </w:r>
      <w:r>
        <w:t xml:space="preserve"> </w:t>
      </w:r>
      <w:r>
        <w:rPr>
          <w:bCs/>
          <w:b/>
        </w:rPr>
        <w:t xml:space="preserve">2.575 kgCO2e</w:t>
      </w:r>
    </w:p>
    <w:bookmarkEnd w:id="34"/>
    <w:bookmarkEnd w:id="35"/>
    <w:bookmarkStart w:id="36" w:name="X9522adb9004890ff37c3fba3858a8e780a7327a"/>
    <w:p>
      <w:pPr>
        <w:pStyle w:val="Heading3"/>
      </w:pPr>
      <w:r>
        <w:t xml:space="preserve">3. Transportation and Distribution (Scope 3 - Upstream &amp; Downstream)</w:t>
      </w:r>
    </w:p>
    <w:p>
      <w:pPr>
        <w:pStyle w:val="FirstParagraph"/>
      </w:pPr>
      <w:r>
        <w:t xml:space="preserve">Assuming the product weighs 0.65 kg. For calculation, we need to convert to tonne-km.</w:t>
      </w:r>
    </w:p>
    <w:p>
      <w:pPr>
        <w:numPr>
          <w:ilvl w:val="0"/>
          <w:numId w:val="1010"/>
        </w:numPr>
        <w:pStyle w:val="Compact"/>
      </w:pPr>
      <w:r>
        <w:rPr>
          <w:bCs/>
          <w:b/>
        </w:rPr>
        <w:t xml:space="preserve">Inbound Raw Materials (Europe to China):</w:t>
      </w:r>
      <w:r>
        <w:t xml:space="preserve"> </w:t>
      </w:r>
      <w:r>
        <w:t xml:space="preserve">Assume average material mass of 0.65 kg * 0.8 (for raw material weight) = 0.52 kg. Distance: 10,000 km (e.g., by sea freight).</w:t>
      </w:r>
    </w:p>
    <w:p>
      <w:pPr>
        <w:numPr>
          <w:ilvl w:val="1"/>
          <w:numId w:val="1011"/>
        </w:numPr>
        <w:pStyle w:val="Compact"/>
      </w:pPr>
      <w:r>
        <w:t xml:space="preserve">Mass-distance: 0.00052 tonnes * 10,000 km = 5.2 tkm</w:t>
      </w:r>
    </w:p>
    <w:p>
      <w:pPr>
        <w:numPr>
          <w:ilvl w:val="1"/>
          <w:numId w:val="1011"/>
        </w:numPr>
        <w:pStyle w:val="Compact"/>
      </w:pPr>
      <w:r>
        <w:t xml:space="preserve">Emission Factor (Sea Freight): ~0.01 kgCO2e/tkm</w:t>
      </w:r>
    </w:p>
    <w:p>
      <w:pPr>
        <w:numPr>
          <w:ilvl w:val="1"/>
          <w:numId w:val="1011"/>
        </w:numPr>
        <w:pStyle w:val="Compact"/>
      </w:pPr>
      <w:r>
        <w:t xml:space="preserve">Emissions: 5.2 tkm * 0.01 kgCO2e/tkm = 0.052 kgCO2e</w:t>
      </w:r>
    </w:p>
    <w:p>
      <w:pPr>
        <w:numPr>
          <w:ilvl w:val="0"/>
          <w:numId w:val="1010"/>
        </w:numPr>
        <w:pStyle w:val="Compact"/>
      </w:pPr>
      <w:r>
        <w:rPr>
          <w:bCs/>
          <w:b/>
        </w:rPr>
        <w:t xml:space="preserve">Outbound Product Distribution (China to Primary Market - `mfjxozlphw`):</w:t>
      </w:r>
      <w:r>
        <w:t xml:space="preserve"> </w:t>
      </w:r>
      <w:r>
        <w:t xml:space="preserve">Assume product mass 0.65 kg. Distance: `mfjxozlphw` (1,500 km, e.g., by road freight).</w:t>
      </w:r>
    </w:p>
    <w:p>
      <w:pPr>
        <w:numPr>
          <w:ilvl w:val="1"/>
          <w:numId w:val="1012"/>
        </w:numPr>
        <w:pStyle w:val="Compact"/>
      </w:pPr>
      <w:r>
        <w:t xml:space="preserve">Mass-distance: 0.00065 tonnes * 1,500 km = 0.975 tkm</w:t>
      </w:r>
    </w:p>
    <w:p>
      <w:pPr>
        <w:numPr>
          <w:ilvl w:val="1"/>
          <w:numId w:val="1012"/>
        </w:numPr>
        <w:pStyle w:val="Compact"/>
      </w:pPr>
      <w:r>
        <w:t xml:space="preserve">Emission Factor (Road Freight): ~0.1 kgCO2e/tkm</w:t>
      </w:r>
    </w:p>
    <w:p>
      <w:pPr>
        <w:numPr>
          <w:ilvl w:val="1"/>
          <w:numId w:val="1012"/>
        </w:numPr>
        <w:pStyle w:val="Compact"/>
      </w:pPr>
      <w:r>
        <w:t xml:space="preserve">Emissions: 0.975 tkm * 0.1 kgCO2e/tkm = 0.0975 kgCO2e</w:t>
      </w:r>
    </w:p>
    <w:p>
      <w:pPr>
        <w:numPr>
          <w:ilvl w:val="0"/>
          <w:numId w:val="1010"/>
        </w:numPr>
        <w:pStyle w:val="Compact"/>
      </w:pPr>
      <w:r>
        <w:rPr>
          <w:bCs/>
          <w:b/>
        </w:rPr>
        <w:t xml:space="preserve">Last-Mile Delivery (`Delivery Type`):</w:t>
      </w:r>
      <w:r>
        <w:t xml:space="preserve"> </w:t>
      </w:r>
      <w:r>
        <w:t xml:space="preserve">Assume for a specific delivery route (e.g., 50 km by Van).</w:t>
      </w:r>
    </w:p>
    <w:p>
      <w:pPr>
        <w:numPr>
          <w:ilvl w:val="1"/>
          <w:numId w:val="1013"/>
        </w:numPr>
        <w:pStyle w:val="Compact"/>
      </w:pPr>
      <w:r>
        <w:t xml:space="preserve">Distance: 50 km</w:t>
      </w:r>
    </w:p>
    <w:p>
      <w:pPr>
        <w:numPr>
          <w:ilvl w:val="1"/>
          <w:numId w:val="1013"/>
        </w:numPr>
        <w:pStyle w:val="Compact"/>
      </w:pPr>
      <w:r>
        <w:t xml:space="preserve">Emission Factor (Van): ~0.2 kgCO2e/km (per delivery)</w:t>
      </w:r>
    </w:p>
    <w:p>
      <w:pPr>
        <w:numPr>
          <w:ilvl w:val="1"/>
          <w:numId w:val="1013"/>
        </w:numPr>
        <w:pStyle w:val="Compact"/>
      </w:pPr>
      <w:r>
        <w:t xml:space="preserve">Emissions: 50 km * 0.2 kgCO2e/km = 10.0 kgCO2e (This can vary greatly, often a per-parcel average is used)</w:t>
      </w:r>
    </w:p>
    <w:p>
      <w:pPr>
        <w:pStyle w:val="FirstParagraph"/>
      </w:pPr>
      <w:r>
        <w:rPr>
          <w:iCs/>
          <w:i/>
        </w:rPr>
        <w:t xml:space="preserve">Note: The "Last-Mile Delivery" emissions are highly variable and are often averaged across many units delivered. For a single unit PCF, a more granular average per unit delivered would be appropriate, or this should be explicitly stated as a per-delivery impact rather than per-unit. Assuming `Delivery Type` as a dedicated van delivery for simplicity, this yields a higher impact per unit. If a shared delivery, this would be allocated. Given the detail requested, we assume an illustrative single-unit allocation for this example.</w:t>
      </w:r>
    </w:p>
    <w:p>
      <w:pPr>
        <w:pStyle w:val="BodyText"/>
      </w:pPr>
      <w:r>
        <w:rPr>
          <w:bCs/>
          <w:b/>
        </w:rPr>
        <w:t xml:space="preserve">Total Transportation Emissions:</w:t>
      </w:r>
      <w:r>
        <w:t xml:space="preserve"> </w:t>
      </w:r>
      <w:r>
        <w:t xml:space="preserve">0.052 + 0.0975 + 10.0 =</w:t>
      </w:r>
      <w:r>
        <w:t xml:space="preserve"> </w:t>
      </w:r>
      <w:r>
        <w:rPr>
          <w:bCs/>
          <w:b/>
        </w:rPr>
        <w:t xml:space="preserve">10.1495 kgCO2e</w:t>
      </w:r>
    </w:p>
    <w:bookmarkEnd w:id="36"/>
    <w:bookmarkStart w:id="37" w:name="product-use-phase-scope-3---downstream-1"/>
    <w:p>
      <w:pPr>
        <w:pStyle w:val="Heading3"/>
      </w:pPr>
      <w:r>
        <w:t xml:space="preserve">4. Product Use Phase (Scope 3 - Downstream)</w:t>
      </w:r>
    </w:p>
    <w:p>
      <w:pPr>
        <w:numPr>
          <w:ilvl w:val="0"/>
          <w:numId w:val="1014"/>
        </w:numPr>
        <w:pStyle w:val="Compact"/>
      </w:pPr>
      <w:r>
        <w:t xml:space="preserve">Product Lifespan: `wvthpqhzsw` (5 years)</w:t>
      </w:r>
    </w:p>
    <w:p>
      <w:pPr>
        <w:numPr>
          <w:ilvl w:val="0"/>
          <w:numId w:val="1014"/>
        </w:numPr>
        <w:pStyle w:val="Compact"/>
      </w:pPr>
      <w:r>
        <w:t xml:space="preserve">Energy Consumption in Use: `efohymrids` (20 kWh/year)</w:t>
      </w:r>
    </w:p>
    <w:p>
      <w:pPr>
        <w:numPr>
          <w:ilvl w:val="0"/>
          <w:numId w:val="1014"/>
        </w:numPr>
        <w:pStyle w:val="Compact"/>
      </w:pPr>
      <w:r>
        <w:t xml:space="preserve">Total energy consumed over lifespan: 20 kWh/year * 5 years = 100 kWh</w:t>
      </w:r>
    </w:p>
    <w:p>
      <w:pPr>
        <w:numPr>
          <w:ilvl w:val="0"/>
          <w:numId w:val="1014"/>
        </w:numPr>
        <w:pStyle w:val="Compact"/>
      </w:pPr>
      <w:r>
        <w:t xml:space="preserve">Emissions from use phase: 100 kWh * 0.4 kgCO2e/kWh (global grid EF) =</w:t>
      </w:r>
      <w:r>
        <w:t xml:space="preserve"> </w:t>
      </w:r>
      <w:r>
        <w:rPr>
          <w:bCs/>
          <w:b/>
        </w:rPr>
        <w:t xml:space="preserve">40.0 kgCO2e</w:t>
      </w:r>
    </w:p>
    <w:bookmarkEnd w:id="37"/>
    <w:bookmarkStart w:id="40" w:name="Xa847c92a1ee2b79049a6ec8de7037aa5e637d16"/>
    <w:p>
      <w:pPr>
        <w:pStyle w:val="Heading3"/>
      </w:pPr>
      <w:r>
        <w:t xml:space="preserve">5. End-of-Life (EoL) Phase (Scope 3 - Downstream)</w:t>
      </w:r>
    </w:p>
    <w:p>
      <w:pPr>
        <w:numPr>
          <w:ilvl w:val="0"/>
          <w:numId w:val="1015"/>
        </w:numPr>
        <w:pStyle w:val="Compact"/>
      </w:pPr>
      <w:r>
        <w:t xml:space="preserve">Total Product Mass: 0.65 kg</w:t>
      </w:r>
    </w:p>
    <w:p>
      <w:pPr>
        <w:numPr>
          <w:ilvl w:val="0"/>
          <w:numId w:val="1015"/>
        </w:numPr>
        <w:pStyle w:val="Compact"/>
      </w:pPr>
      <w:r>
        <w:t xml:space="preserve">Recyclability Percentage: `wlvrjrgfwn` (85%)</w:t>
      </w:r>
    </w:p>
    <w:p>
      <w:pPr>
        <w:numPr>
          <w:ilvl w:val="0"/>
          <w:numId w:val="1015"/>
        </w:numPr>
        <w:pStyle w:val="Compact"/>
      </w:pPr>
      <w:r>
        <w:t xml:space="preserve">Mass to be recycled: 0.65 kg * 0.85 = 0.5525 kg</w:t>
      </w:r>
    </w:p>
    <w:p>
      <w:pPr>
        <w:numPr>
          <w:ilvl w:val="0"/>
          <w:numId w:val="1015"/>
        </w:numPr>
        <w:pStyle w:val="Compact"/>
      </w:pPr>
      <w:r>
        <w:t xml:space="preserve">Mass to landfill/incineration: 0.65 kg * (1 - 0.85) = 0.0975 kg</w:t>
      </w:r>
    </w:p>
    <w:bookmarkStart w:id="38" w:name="emissions-from-non-recycled-waste"/>
    <w:p>
      <w:pPr>
        <w:pStyle w:val="Heading4"/>
      </w:pPr>
      <w:r>
        <w:t xml:space="preserve">Emissions from Non-Recycled Waste</w:t>
      </w:r>
    </w:p>
    <w:p>
      <w:pPr>
        <w:pStyle w:val="FirstParagraph"/>
      </w:pPr>
      <w:r>
        <w:t xml:space="preserve">Assume general waste emission factor (landfill/incineration): ~1.0 kgCO2e/kg (highly variable)</w:t>
      </w:r>
    </w:p>
    <w:p>
      <w:pPr>
        <w:numPr>
          <w:ilvl w:val="0"/>
          <w:numId w:val="1016"/>
        </w:numPr>
        <w:pStyle w:val="Compact"/>
      </w:pPr>
      <w:r>
        <w:t xml:space="preserve">Emissions from non-recycled waste: 0.0975 kg * 1.0 kgCO2e/kg = 0.0975 kgCO2e</w:t>
      </w:r>
    </w:p>
    <w:bookmarkEnd w:id="38"/>
    <w:bookmarkStart w:id="39" w:name="avoided-emissions-from-recycling-credit"/>
    <w:p>
      <w:pPr>
        <w:pStyle w:val="Heading4"/>
      </w:pPr>
      <w:r>
        <w:t xml:space="preserve">Avoided Emissions from Recycling (Credit)</w:t>
      </w:r>
    </w:p>
    <w:p>
      <w:pPr>
        <w:pStyle w:val="FirstParagraph"/>
      </w:pPr>
      <w:r>
        <w:t xml:space="preserve">The presence of "Circular/Take-back Programs: qkglxddpdx (Yes, active)" indicates an efficient recycling system. Recycling saves energy and emissions compared to virgin production.</w:t>
      </w:r>
    </w:p>
    <w:p>
      <w:pPr>
        <w:pStyle w:val="BodyText"/>
      </w:pPr>
      <w:r>
        <w:t xml:space="preserve">We will apply an average avoided emission factor for the recycled materials based on typical industry savings, weighted by their approximate presence in the product\'s mass. This is a simplification; precise calculation would require avoided emissions factors for each material type (Aluminum, Plastic, Copper, Glass, Cardboard).</w:t>
      </w:r>
    </w:p>
    <w:p>
      <w:pPr>
        <w:numPr>
          <w:ilvl w:val="0"/>
          <w:numId w:val="1017"/>
        </w:numPr>
        <w:pStyle w:val="Compact"/>
      </w:pPr>
      <w:r>
        <w:t xml:space="preserve">Aluminum: Recycling saves ~95% energy, ~9 kg CO2e/ton (or 0.009 kg CO2e/kg)</w:t>
      </w:r>
    </w:p>
    <w:p>
      <w:pPr>
        <w:numPr>
          <w:ilvl w:val="0"/>
          <w:numId w:val="1017"/>
        </w:numPr>
        <w:pStyle w:val="Compact"/>
      </w:pPr>
      <w:r>
        <w:t xml:space="preserve">ABS Plastic: Recycling saves ~2 kg CO2e/ton (0.002 kg CO2e/kg)</w:t>
      </w:r>
    </w:p>
    <w:p>
      <w:pPr>
        <w:numPr>
          <w:ilvl w:val="0"/>
          <w:numId w:val="1017"/>
        </w:numPr>
        <w:pStyle w:val="Compact"/>
      </w:pPr>
      <w:r>
        <w:t xml:space="preserve">Copper: Recycling saves ~85% energy, ~3.5 kg CO2e/ton (0.0035 kg CO2e/kg)</w:t>
      </w:r>
    </w:p>
    <w:p>
      <w:pPr>
        <w:numPr>
          <w:ilvl w:val="0"/>
          <w:numId w:val="1017"/>
        </w:numPr>
        <w:pStyle w:val="Compact"/>
      </w:pPr>
      <w:r>
        <w:t xml:space="preserve">Glass: Recycling saves ~0.16 kg CO2e/kg (1 ton CO2 for every 6 tons of glass)</w:t>
      </w:r>
    </w:p>
    <w:p>
      <w:pPr>
        <w:numPr>
          <w:ilvl w:val="0"/>
          <w:numId w:val="1017"/>
        </w:numPr>
        <w:pStyle w:val="Compact"/>
      </w:pPr>
      <w:r>
        <w:t xml:space="preserve">Cardboard: Recycling saves ~50% energy, ~4 kg CO2 for every ton (0.004 kg CO2e/kg)</w:t>
      </w:r>
    </w:p>
    <w:p>
      <w:pPr>
        <w:pStyle w:val="FirstParagraph"/>
      </w:pPr>
      <w:r>
        <w:t xml:space="preserve">For a simplified overall average for the 0.5525 kg recycled, let\'s assume an average avoided emission factor of 0.005 kgCO2e/kg for mixed recyclables.</w:t>
      </w:r>
    </w:p>
    <w:p>
      <w:pPr>
        <w:numPr>
          <w:ilvl w:val="0"/>
          <w:numId w:val="1018"/>
        </w:numPr>
        <w:pStyle w:val="Compact"/>
      </w:pPr>
      <w:r>
        <w:t xml:space="preserve">Avoided Emissions: 0.5525 kg * 0.005 kgCO2e/kg = -0.0027625 kgCO2e (negative as it\'s a credit)</w:t>
      </w:r>
    </w:p>
    <w:p>
      <w:pPr>
        <w:pStyle w:val="FirstParagraph"/>
      </w:pPr>
      <w:r>
        <w:rPr>
          <w:bCs/>
          <w:b/>
        </w:rPr>
        <w:t xml:space="preserve">Total End-of-Life Emissions:</w:t>
      </w:r>
      <w:r>
        <w:t xml:space="preserve"> </w:t>
      </w:r>
      <w:r>
        <w:t xml:space="preserve">0.0975 (emissions) - 0.0027625 (credit) =</w:t>
      </w:r>
      <w:r>
        <w:t xml:space="preserve"> </w:t>
      </w:r>
      <w:r>
        <w:rPr>
          <w:bCs/>
          <w:b/>
        </w:rPr>
        <w:t xml:space="preserve">0.0947 kgCO2e</w:t>
      </w:r>
    </w:p>
    <w:bookmarkEnd w:id="39"/>
    <w:bookmarkEnd w:id="40"/>
    <w:bookmarkStart w:id="41" w:name="summary-of-emissions-by-scope-and-stage"/>
    <w:p>
      <w:pPr>
        <w:pStyle w:val="Heading3"/>
      </w:pPr>
      <w:r>
        <w:t xml:space="preserve">Summary of Emissions by Scope and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Emissions (kgCO2e)</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6.331</w:t>
            </w:r>
          </w:p>
        </w:tc>
      </w:tr>
      <w:tr>
        <w:tc>
          <w:tcPr/>
          <w:p>
            <w:pPr>
              <w:pStyle w:val="Compact"/>
              <w:jc w:val="left"/>
            </w:pPr>
            <w:r>
              <w:t xml:space="preserve">Manufacturing (Direct)</w:t>
            </w:r>
          </w:p>
        </w:tc>
        <w:tc>
          <w:tcPr/>
          <w:p>
            <w:pPr>
              <w:pStyle w:val="Compact"/>
              <w:jc w:val="left"/>
            </w:pPr>
            <w:r>
              <w:t xml:space="preserve">Scope 1</w:t>
            </w:r>
          </w:p>
        </w:tc>
        <w:tc>
          <w:tcPr/>
          <w:p>
            <w:pPr>
              <w:pStyle w:val="Compact"/>
              <w:jc w:val="left"/>
            </w:pPr>
            <w:r>
              <w:t xml:space="preserve">0.100</w:t>
            </w:r>
          </w:p>
        </w:tc>
      </w:tr>
      <w:tr>
        <w:tc>
          <w:tcPr/>
          <w:p>
            <w:pPr>
              <w:pStyle w:val="Compact"/>
              <w:jc w:val="left"/>
            </w:pPr>
            <w:r>
              <w:t xml:space="preserve">Manufacturing (Purchased Energy)</w:t>
            </w:r>
          </w:p>
        </w:tc>
        <w:tc>
          <w:tcPr/>
          <w:p>
            <w:pPr>
              <w:pStyle w:val="Compact"/>
              <w:jc w:val="left"/>
            </w:pPr>
            <w:r>
              <w:t xml:space="preserve">Scope 2</w:t>
            </w:r>
          </w:p>
        </w:tc>
        <w:tc>
          <w:tcPr/>
          <w:p>
            <w:pPr>
              <w:pStyle w:val="Compact"/>
              <w:jc w:val="left"/>
            </w:pPr>
            <w:r>
              <w:t xml:space="preserve">2.475</w:t>
            </w:r>
          </w:p>
        </w:tc>
      </w:tr>
      <w:tr>
        <w:tc>
          <w:tcPr/>
          <w:p>
            <w:pPr>
              <w:pStyle w:val="Compact"/>
              <w:jc w:val="left"/>
            </w:pPr>
            <w:r>
              <w:t xml:space="preserve">Transportation (Upstream &amp; Downstream)</w:t>
            </w:r>
          </w:p>
        </w:tc>
        <w:tc>
          <w:tcPr/>
          <w:p>
            <w:pPr>
              <w:pStyle w:val="Compact"/>
              <w:jc w:val="left"/>
            </w:pPr>
            <w:r>
              <w:t xml:space="preserve">Scope 3 (Upstream &amp; Downstream)</w:t>
            </w:r>
          </w:p>
        </w:tc>
        <w:tc>
          <w:tcPr/>
          <w:p>
            <w:pPr>
              <w:pStyle w:val="Compact"/>
              <w:jc w:val="left"/>
            </w:pPr>
            <w:r>
              <w:t xml:space="preserve">10.1495</w:t>
            </w:r>
          </w:p>
        </w:tc>
      </w:tr>
      <w:tr>
        <w:tc>
          <w:tcPr/>
          <w:p>
            <w:pPr>
              <w:pStyle w:val="Compact"/>
              <w:jc w:val="left"/>
            </w:pPr>
            <w:r>
              <w:t xml:space="preserve">Product Use Phase</w:t>
            </w:r>
          </w:p>
        </w:tc>
        <w:tc>
          <w:tcPr/>
          <w:p>
            <w:pPr>
              <w:pStyle w:val="Compact"/>
              <w:jc w:val="left"/>
            </w:pPr>
            <w:r>
              <w:t xml:space="preserve">Scope 3 (Downstream)</w:t>
            </w:r>
          </w:p>
        </w:tc>
        <w:tc>
          <w:tcPr/>
          <w:p>
            <w:pPr>
              <w:pStyle w:val="Compact"/>
              <w:jc w:val="left"/>
            </w:pPr>
            <w:r>
              <w:t xml:space="preserve">40.000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0.0947</w:t>
            </w:r>
          </w:p>
        </w:tc>
      </w:tr>
      <w:tr>
        <w:tc>
          <w:tcPr>
            <w:gridSpan w:val="2"/>
          </w:tcPr>
          <w:p>
            <w:pPr>
              <w:pStyle w:val="Compact"/>
              <w:jc w:val="right"/>
            </w:pPr>
            <w:r>
              <w:rPr>
                <w:bCs/>
                <w:b/>
              </w:rPr>
              <w:t xml:space="preserve">TOTAL PRODUCT CARBON FOOTPRINT (kgCO2e/unit):</w:t>
            </w:r>
          </w:p>
        </w:tc>
        <w:tc>
          <w:tcPr/>
          <w:p>
            <w:pPr>
              <w:pStyle w:val="Compact"/>
              <w:jc w:val="left"/>
            </w:pPr>
            <w:r>
              <w:rPr>
                <w:bCs/>
                <w:b/>
              </w:rPr>
              <w:t xml:space="preserve">59.1502</w:t>
            </w:r>
          </w:p>
        </w:tc>
      </w:tr>
    </w:tbl>
    <w:p>
      <w:r>
        <w:pict>
          <v:rect style="width:0;height:1.5pt" o:hralign="center" o:hrstd="t" o:hr="t"/>
        </w:pict>
      </w:r>
    </w:p>
    <w:bookmarkEnd w:id="41"/>
    <w:bookmarkEnd w:id="42"/>
    <w:bookmarkStart w:id="46" w:name="review-report"/>
    <w:p>
      <w:pPr>
        <w:pStyle w:val="Heading2"/>
      </w:pPr>
      <w:r>
        <w:t xml:space="preserve">5. Review &amp; Report</w:t>
      </w:r>
    </w:p>
    <w:bookmarkStart w:id="43" w:name="emission-hotspots"/>
    <w:p>
      <w:pPr>
        <w:pStyle w:val="Heading3"/>
      </w:pPr>
      <w:r>
        <w:t xml:space="preserve">Emission Hotspots</w:t>
      </w:r>
    </w:p>
    <w:p>
      <w:pPr>
        <w:pStyle w:val="FirstParagraph"/>
      </w:pPr>
      <w:r>
        <w:t xml:space="preserve">The analysis reveals the following key emission hotspots for</w:t>
      </w:r>
      <w:r>
        <w:t xml:space="preserve"> </w:t>
      </w:r>
      <w:r>
        <w:rPr>
          <w:bCs/>
          <w:b/>
        </w:rPr>
        <w:t xml:space="preserve">vjnhtofyil</w:t>
      </w:r>
      <w:r>
        <w:t xml:space="preserve">:</w:t>
      </w:r>
    </w:p>
    <w:p>
      <w:pPr>
        <w:numPr>
          <w:ilvl w:val="0"/>
          <w:numId w:val="1019"/>
        </w:numPr>
        <w:pStyle w:val="Compact"/>
      </w:pPr>
      <w:r>
        <w:rPr>
          <w:bCs/>
          <w:b/>
        </w:rPr>
        <w:t xml:space="preserve">Product Use Phase (approx. 67.6%):</w:t>
      </w:r>
      <w:r>
        <w:t xml:space="preserve"> </w:t>
      </w:r>
      <w:r>
        <w:t xml:space="preserve">This stage is by far the largest contributor to the overall PCF, primarily due to the energy consumed during the product\'s lifespan. This highlights the critical importance of energy efficiency in product design and consumer behavior.</w:t>
      </w:r>
    </w:p>
    <w:p>
      <w:pPr>
        <w:numPr>
          <w:ilvl w:val="0"/>
          <w:numId w:val="1019"/>
        </w:numPr>
        <w:pStyle w:val="Compact"/>
      </w:pPr>
      <w:r>
        <w:rPr>
          <w:bCs/>
          <w:b/>
        </w:rPr>
        <w:t xml:space="preserve">Transportation (approx. 17.1%):</w:t>
      </w:r>
      <w:r>
        <w:t xml:space="preserve"> </w:t>
      </w:r>
      <w:r>
        <w:t xml:space="preserve">Both upstream (raw materials) and particularly downstream (last-mile delivery) logistics contribute significantly. The assumed high impact for last-mile delivery, especially if allocated per single unit, heavily influences this. Optimization of transport modes, routes, and consolidation of deliveries offers substantial reduction opportunities.</w:t>
      </w:r>
    </w:p>
    <w:p>
      <w:pPr>
        <w:numPr>
          <w:ilvl w:val="0"/>
          <w:numId w:val="1019"/>
        </w:numPr>
        <w:pStyle w:val="Compact"/>
      </w:pPr>
      <w:r>
        <w:rPr>
          <w:bCs/>
          <w:b/>
        </w:rPr>
        <w:t xml:space="preserve">Material Acquisition &amp; Pre-processing (approx. 10.7%):</w:t>
      </w:r>
      <w:r>
        <w:t xml:space="preserve"> </w:t>
      </w:r>
      <w:r>
        <w:t xml:space="preserve">Emissions embedded in raw materials, particularly aluminum and the lithium-ion battery, represent a notable portion of the footprint. Shifting to materials with lower embodied carbon, increasing recycled content, and working with low-carbon suppliers are key strategies.</w:t>
      </w:r>
    </w:p>
    <w:p>
      <w:pPr>
        <w:numPr>
          <w:ilvl w:val="0"/>
          <w:numId w:val="1019"/>
        </w:numPr>
        <w:pStyle w:val="Compact"/>
      </w:pPr>
      <w:r>
        <w:rPr>
          <w:bCs/>
          <w:b/>
        </w:rPr>
        <w:t xml:space="preserve">Manufacturing (Scope 1 &amp; 2) (approx. 4.3%):</w:t>
      </w:r>
      <w:r>
        <w:t xml:space="preserve"> </w:t>
      </w:r>
      <w:r>
        <w:t xml:space="preserve">While not the largest, this phase offers direct control for the company. Increasing renewable energy usage beyond the current `xtllksxidh` (70%) and optimizing manufacturing processes can further reduce these emissions.</w:t>
      </w:r>
    </w:p>
    <w:bookmarkEnd w:id="43"/>
    <w:bookmarkStart w:id="44" w:name="reliability-assessment-and-data-gaps"/>
    <w:p>
      <w:pPr>
        <w:pStyle w:val="Heading3"/>
      </w:pPr>
      <w:r>
        <w:t xml:space="preserve">Reliability Assessment and Data Gaps</w:t>
      </w:r>
    </w:p>
    <w:p>
      <w:pPr>
        <w:pStyle w:val="FirstParagraph"/>
      </w:pPr>
      <w:r>
        <w:t xml:space="preserve">The reliability of this PCF analysis is contingent on the accuracy of the underlying data.</w:t>
      </w:r>
    </w:p>
    <w:p>
      <w:pPr>
        <w:numPr>
          <w:ilvl w:val="0"/>
          <w:numId w:val="1020"/>
        </w:numPr>
        <w:pStyle w:val="Compact"/>
      </w:pPr>
      <w:r>
        <w:rPr>
          <w:bCs/>
          <w:b/>
        </w:rPr>
        <w:t xml:space="preserve">Primary Data:</w:t>
      </w:r>
      <w:r>
        <w:t xml:space="preserve"> </w:t>
      </w:r>
      <w:r>
        <w:t xml:space="preserve">The BOM structure provides a good framework for high-accuracy material impact. However, for this report, the BOM data (`mtmgtnqz`) and other parameters (`Select Mode`, `mfjxozlphw`, `Delivery Type`, `xtllksxidh`, `xkjnoigqhn`, `wvthpqhzsw`, `efohymrids`, `wlvrjrgfwn`, `qkglxddpdx`) were provided as placeholders, requiring the use of illustrative values. Actual primary data from suppliers and internal operations would significantly enhance accuracy.</w:t>
      </w:r>
    </w:p>
    <w:p>
      <w:pPr>
        <w:numPr>
          <w:ilvl w:val="0"/>
          <w:numId w:val="1020"/>
        </w:numPr>
        <w:pStyle w:val="Compact"/>
      </w:pPr>
      <w:r>
        <w:rPr>
          <w:bCs/>
          <w:b/>
        </w:rPr>
        <w:t xml:space="preserve">Secondary Data:</w:t>
      </w:r>
      <w:r>
        <w:t xml:space="preserve"> </w:t>
      </w:r>
      <w:r>
        <w:t xml:space="preserve">Industry-average emission factors were used (e.g., for electricity grids, transport, material production). While these are generally robust, product-specific or supplier-specific emission factors (e.g., from Ecoinvent/DEFRA for precise values) would reduce uncertainty.</w:t>
      </w:r>
    </w:p>
    <w:p>
      <w:pPr>
        <w:numPr>
          <w:ilvl w:val="0"/>
          <w:numId w:val="1020"/>
        </w:numPr>
        <w:pStyle w:val="Compact"/>
      </w:pPr>
      <w:r>
        <w:rPr>
          <w:bCs/>
          <w:b/>
        </w:rPr>
        <w:t xml:space="preserve">System Boundary:</w:t>
      </w:r>
      <w:r>
        <w:t xml:space="preserve"> </w:t>
      </w:r>
      <w:r>
        <w:t xml:space="preserve">The decision to extend beyond "factory_gate" to "cradle-to-grave" to incorporate all requested parameters enhances completeness but relies on assumptions for the use phase (e.g., user energy mix) and end-of-life scenarios.</w:t>
      </w:r>
    </w:p>
    <w:p>
      <w:pPr>
        <w:numPr>
          <w:ilvl w:val="0"/>
          <w:numId w:val="1020"/>
        </w:numPr>
        <w:pStyle w:val="Compact"/>
      </w:pPr>
      <w:r>
        <w:rPr>
          <w:bCs/>
          <w:b/>
        </w:rPr>
        <w:t xml:space="preserve">LSR Standard:</w:t>
      </w:r>
      <w:r>
        <w:t xml:space="preserve"> </w:t>
      </w:r>
      <w:r>
        <w:t xml:space="preserve">As the LSR Standard is new (effective Jan 1, 2027), its full implementation guidance is still being developed. For products without direct land-use impacts, its relevance is primarily indirect through upstream material sourcing. Continued monitoring of updates and guidance is recommended.</w:t>
      </w:r>
    </w:p>
    <w:p>
      <w:pPr>
        <w:numPr>
          <w:ilvl w:val="0"/>
          <w:numId w:val="1020"/>
        </w:numPr>
        <w:pStyle w:val="Compact"/>
      </w:pPr>
      <w:r>
        <w:rPr>
          <w:bCs/>
          <w:b/>
        </w:rPr>
        <w:t xml:space="preserve">Scope 3 Coverage:</w:t>
      </w:r>
      <w:r>
        <w:t xml:space="preserve"> </w:t>
      </w:r>
      <w:r>
        <w:t xml:space="preserve">The analysis aimed for &gt;95% Scope 3 coverage, addressing all major upstream and downstream categories. The inclusion of use-phase energy and comprehensive end-of-life scenarios contributes significantly to this.</w:t>
      </w:r>
    </w:p>
    <w:bookmarkEnd w:id="44"/>
    <w:bookmarkStart w:id="45" w:name="recommendations-for-emission-reduction"/>
    <w:p>
      <w:pPr>
        <w:pStyle w:val="Heading3"/>
      </w:pPr>
      <w:r>
        <w:t xml:space="preserve">Recommendations for Emission Reduction</w:t>
      </w:r>
    </w:p>
    <w:p>
      <w:pPr>
        <w:pStyle w:val="FirstParagraph"/>
      </w:pPr>
      <w:r>
        <w:t xml:space="preserve">Based on this PCF analysis,</w:t>
      </w:r>
      <w:r>
        <w:t xml:space="preserve"> </w:t>
      </w:r>
      <w:r>
        <w:rPr>
          <w:bCs/>
          <w:b/>
        </w:rPr>
        <w:t xml:space="preserve">lvsdlimxok</w:t>
      </w:r>
      <w:r>
        <w:t xml:space="preserve"> </w:t>
      </w:r>
      <w:r>
        <w:t xml:space="preserve">should consider the following strategies to reduce the carbon footprint of</w:t>
      </w:r>
      <w:r>
        <w:t xml:space="preserve"> </w:t>
      </w:r>
      <w:r>
        <w:rPr>
          <w:bCs/>
          <w:b/>
        </w:rPr>
        <w:t xml:space="preserve">vjnhtofyil</w:t>
      </w:r>
      <w:r>
        <w:t xml:space="preserve">:</w:t>
      </w:r>
    </w:p>
    <w:p>
      <w:pPr>
        <w:numPr>
          <w:ilvl w:val="0"/>
          <w:numId w:val="1021"/>
        </w:numPr>
        <w:pStyle w:val="Compact"/>
      </w:pPr>
      <w:r>
        <w:rPr>
          <w:bCs/>
          <w:b/>
        </w:rPr>
        <w:t xml:space="preserve">Use Phase Optimization:</w:t>
      </w:r>
    </w:p>
    <w:p>
      <w:pPr>
        <w:numPr>
          <w:ilvl w:val="1"/>
          <w:numId w:val="1022"/>
        </w:numPr>
        <w:pStyle w:val="Compact"/>
      </w:pPr>
      <w:r>
        <w:rPr>
          <w:bCs/>
          <w:b/>
        </w:rPr>
        <w:t xml:space="preserve">Energy Efficiency:</w:t>
      </w:r>
      <w:r>
        <w:t xml:space="preserve"> </w:t>
      </w:r>
      <w:r>
        <w:t xml:space="preserve">Focus on designing for even greater energy efficiency during the product\'s operation. This could involve lower power components, smarter energy management features, and educating users on efficient use.</w:t>
      </w:r>
    </w:p>
    <w:p>
      <w:pPr>
        <w:numPr>
          <w:ilvl w:val="1"/>
          <w:numId w:val="1022"/>
        </w:numPr>
        <w:pStyle w:val="Compact"/>
      </w:pPr>
      <w:r>
        <w:rPr>
          <w:bCs/>
          <w:b/>
        </w:rPr>
        <w:t xml:space="preserve">Extended Lifespan:</w:t>
      </w:r>
      <w:r>
        <w:t xml:space="preserve"> </w:t>
      </w:r>
      <w:r>
        <w:t xml:space="preserve">Enhance product durability and repairability (`wvthpqhzsw`) to maximize the product\'s useful life and defer the need for new production.</w:t>
      </w:r>
    </w:p>
    <w:p>
      <w:pPr>
        <w:numPr>
          <w:ilvl w:val="0"/>
          <w:numId w:val="1021"/>
        </w:numPr>
        <w:pStyle w:val="Compact"/>
      </w:pPr>
      <w:r>
        <w:rPr>
          <w:bCs/>
          <w:b/>
        </w:rPr>
        <w:t xml:space="preserve">Logistics and Transportation:</w:t>
      </w:r>
    </w:p>
    <w:p>
      <w:pPr>
        <w:numPr>
          <w:ilvl w:val="1"/>
          <w:numId w:val="1023"/>
        </w:numPr>
        <w:pStyle w:val="Compact"/>
      </w:pPr>
      <w:r>
        <w:rPr>
          <w:bCs/>
          <w:b/>
        </w:rPr>
        <w:t xml:space="preserve">Optimize Modes:</w:t>
      </w:r>
      <w:r>
        <w:t xml:space="preserve"> </w:t>
      </w:r>
      <w:r>
        <w:t xml:space="preserve">Prioritize lower-emission transport modes (e.g., rail or sea over air where feasible) for inbound raw materials from Europe to China, and for outbound distribution.</w:t>
      </w:r>
    </w:p>
    <w:p>
      <w:pPr>
        <w:numPr>
          <w:ilvl w:val="1"/>
          <w:numId w:val="1023"/>
        </w:numPr>
        <w:pStyle w:val="Compact"/>
      </w:pPr>
      <w:r>
        <w:rPr>
          <w:bCs/>
          <w:b/>
        </w:rPr>
        <w:t xml:space="preserve">Consolidated Shipments:</w:t>
      </w:r>
      <w:r>
        <w:t xml:space="preserve"> </w:t>
      </w:r>
      <w:r>
        <w:t xml:space="preserve">Implement strategies to consolidate shipments to reduce the per-unit impact of transportation, especially for last-mile delivery.</w:t>
      </w:r>
    </w:p>
    <w:p>
      <w:pPr>
        <w:numPr>
          <w:ilvl w:val="1"/>
          <w:numId w:val="1023"/>
        </w:numPr>
        <w:pStyle w:val="Compact"/>
      </w:pPr>
      <w:r>
        <w:rPr>
          <w:bCs/>
          <w:b/>
        </w:rPr>
        <w:t xml:space="preserve">Local Sourcing:</w:t>
      </w:r>
      <w:r>
        <w:t xml:space="preserve"> </w:t>
      </w:r>
      <w:r>
        <w:t xml:space="preserve">Investigate opportunities for closer-to-production sourcing of raw materials to reduce transport distances.</w:t>
      </w:r>
    </w:p>
    <w:p>
      <w:pPr>
        <w:numPr>
          <w:ilvl w:val="0"/>
          <w:numId w:val="1021"/>
        </w:numPr>
        <w:pStyle w:val="Compact"/>
      </w:pPr>
      <w:r>
        <w:rPr>
          <w:bCs/>
          <w:b/>
        </w:rPr>
        <w:t xml:space="preserve">Material Innovations:</w:t>
      </w:r>
    </w:p>
    <w:p>
      <w:pPr>
        <w:numPr>
          <w:ilvl w:val="1"/>
          <w:numId w:val="1024"/>
        </w:numPr>
        <w:pStyle w:val="Compact"/>
      </w:pPr>
      <w:r>
        <w:rPr>
          <w:bCs/>
          <w:b/>
        </w:rPr>
        <w:t xml:space="preserve">Lower Embodied Carbon Materials:</w:t>
      </w:r>
      <w:r>
        <w:t xml:space="preserve"> </w:t>
      </w:r>
      <w:r>
        <w:t xml:space="preserve">Research and integrate materials with inherently lower carbon footprints.</w:t>
      </w:r>
    </w:p>
    <w:p>
      <w:pPr>
        <w:numPr>
          <w:ilvl w:val="1"/>
          <w:numId w:val="1024"/>
        </w:numPr>
        <w:pStyle w:val="Compact"/>
      </w:pPr>
      <w:r>
        <w:rPr>
          <w:bCs/>
          <w:b/>
        </w:rPr>
        <w:t xml:space="preserve">Increased Recycled Content:</w:t>
      </w:r>
      <w:r>
        <w:t xml:space="preserve"> </w:t>
      </w:r>
      <w:r>
        <w:t xml:space="preserve">Maximize the use of recycled materials in components (e.g., using more recycled aluminum in the casing), leveraging the company\'s circular programs.</w:t>
      </w:r>
    </w:p>
    <w:p>
      <w:pPr>
        <w:numPr>
          <w:ilvl w:val="1"/>
          <w:numId w:val="1024"/>
        </w:numPr>
        <w:pStyle w:val="Compact"/>
      </w:pPr>
      <w:r>
        <w:rPr>
          <w:bCs/>
          <w:b/>
        </w:rPr>
        <w:t xml:space="preserve">Supplier Engagement:</w:t>
      </w:r>
      <w:r>
        <w:t xml:space="preserve"> </w:t>
      </w:r>
      <w:r>
        <w:t xml:space="preserve">Collaborate with suppliers to obtain primary emission data and encourage their decarbonization efforts.</w:t>
      </w:r>
    </w:p>
    <w:p>
      <w:pPr>
        <w:numPr>
          <w:ilvl w:val="0"/>
          <w:numId w:val="1021"/>
        </w:numPr>
        <w:pStyle w:val="Compact"/>
      </w:pPr>
      <w:r>
        <w:rPr>
          <w:bCs/>
          <w:b/>
        </w:rPr>
        <w:t xml:space="preserve">Manufacturing Improvements:</w:t>
      </w:r>
    </w:p>
    <w:p>
      <w:pPr>
        <w:numPr>
          <w:ilvl w:val="1"/>
          <w:numId w:val="1025"/>
        </w:numPr>
        <w:pStyle w:val="Compact"/>
      </w:pPr>
      <w:r>
        <w:rPr>
          <w:bCs/>
          <w:b/>
        </w:rPr>
        <w:t xml:space="preserve">Renewable Energy Expansion:</w:t>
      </w:r>
      <w:r>
        <w:t xml:space="preserve"> </w:t>
      </w:r>
      <w:r>
        <w:t xml:space="preserve">Increase the percentage of renewable energy (`xtllksxidh`) used in manufacturing facilities beyond the current level, ideally aiming for 100%.</w:t>
      </w:r>
    </w:p>
    <w:p>
      <w:pPr>
        <w:numPr>
          <w:ilvl w:val="1"/>
          <w:numId w:val="1025"/>
        </w:numPr>
        <w:pStyle w:val="Compact"/>
      </w:pPr>
      <w:r>
        <w:rPr>
          <w:bCs/>
          <w:b/>
        </w:rPr>
        <w:t xml:space="preserve">Process Optimization:</w:t>
      </w:r>
      <w:r>
        <w:t xml:space="preserve"> </w:t>
      </w:r>
      <w:r>
        <w:t xml:space="preserve">Continuously improve manufacturing processes to reduce energy intensity (`xkjnoigqhn`) and waste generation.</w:t>
      </w:r>
    </w:p>
    <w:p>
      <w:pPr>
        <w:numPr>
          <w:ilvl w:val="0"/>
          <w:numId w:val="1021"/>
        </w:numPr>
        <w:pStyle w:val="Compact"/>
      </w:pPr>
      <w:r>
        <w:rPr>
          <w:bCs/>
          <w:b/>
        </w:rPr>
        <w:t xml:space="preserve">End-of-Life Enhancement:</w:t>
      </w:r>
    </w:p>
    <w:p>
      <w:pPr>
        <w:numPr>
          <w:ilvl w:val="1"/>
          <w:numId w:val="1026"/>
        </w:numPr>
        <w:pStyle w:val="Compact"/>
      </w:pPr>
      <w:r>
        <w:rPr>
          <w:bCs/>
          <w:b/>
        </w:rPr>
        <w:t xml:space="preserve">Design for Recyclability:</w:t>
      </w:r>
      <w:r>
        <w:t xml:space="preserve"> </w:t>
      </w:r>
      <w:r>
        <w:t xml:space="preserve">Continue designing products for easy disassembly and material separation to maximize actual recyclability (`wlvrjrgfwn`).</w:t>
      </w:r>
    </w:p>
    <w:p>
      <w:pPr>
        <w:numPr>
          <w:ilvl w:val="1"/>
          <w:numId w:val="1026"/>
        </w:numPr>
        <w:pStyle w:val="Compact"/>
      </w:pPr>
      <w:r>
        <w:rPr>
          <w:bCs/>
          <w:b/>
        </w:rPr>
        <w:t xml:space="preserve">Strengthen Circular Programs:</w:t>
      </w:r>
      <w:r>
        <w:t xml:space="preserve"> </w:t>
      </w:r>
      <w:r>
        <w:t xml:space="preserve">Further develop and promote take-back and circularity programs (`qkglxddpdx`) to ensure high recovery rates and effective material valorization.</w:t>
      </w:r>
    </w:p>
    <w:p>
      <w:pPr>
        <w:pStyle w:val="FirstParagraph"/>
      </w:pPr>
      <w:r>
        <w:t xml:space="preserve">By focusing on these areas,</w:t>
      </w:r>
      <w:r>
        <w:t xml:space="preserve"> </w:t>
      </w:r>
      <w:r>
        <w:rPr>
          <w:bCs/>
          <w:b/>
        </w:rPr>
        <w:t xml:space="preserve">lvsdlimxok</w:t>
      </w:r>
      <w:r>
        <w:t xml:space="preserve"> </w:t>
      </w:r>
      <w:r>
        <w:t xml:space="preserve">can significantly reduce the environmental impact of</w:t>
      </w:r>
      <w:r>
        <w:t xml:space="preserve"> </w:t>
      </w:r>
      <w:r>
        <w:rPr>
          <w:bCs/>
          <w:b/>
        </w:rPr>
        <w:t xml:space="preserve">vjnhtofyil</w:t>
      </w:r>
      <w:r>
        <w:t xml:space="preserve"> </w:t>
      </w:r>
      <w:r>
        <w:t xml:space="preserve">and demonstrate leadership in product sustainability.</w:t>
      </w:r>
    </w:p>
    <w:p>
      <w:r>
        <w:pict>
          <v:rect style="width:0;height:1.5pt" o:hralign="center" o:hrstd="t" o:hr="t"/>
        </w:pict>
      </w:r>
    </w:p>
    <w:p>
      <w:pPr>
        <w:pStyle w:val="FirstParagraph"/>
      </w:pPr>
      <w:r>
        <w:t xml:space="preserve">Confidential - Internal Use Only | Page X of Y</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1"/>
  </w:num>
  <w:num w:numId="1023">
    <w:abstractNumId w:val="991"/>
  </w:num>
  <w:num w:numId="1024">
    <w:abstractNumId w:val="991"/>
  </w:num>
  <w:num w:numId="1025">
    <w:abstractNumId w:val="991"/>
  </w:num>
  <w:num w:numId="102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vjnhtofyil</dc:title>
  <dc:creator/>
  <dc:description>Detailed Product Carbon Footprint (PCF) analysis for vjnhtofyil by lvsdlimxok, following GHG Protocol, including materials, manufacturing, transport, use, and end-of-life phases.</dc:description>
  <dc:language>en</dc:language>
  <cp:keywords/>
  <dcterms:created xsi:type="dcterms:W3CDTF">2026-06-13T02:51:25Z</dcterms:created>
  <dcterms:modified xsi:type="dcterms:W3CDTF">2026-06-13T02:51:25Z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