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viotgfqlor</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viotgfqlor"/>
    <w:p>
      <w:pPr>
        <w:pStyle w:val="Heading2"/>
      </w:pPr>
      <w:r>
        <w:t xml:space="preserve">for viotgfqlor</w:t>
      </w:r>
    </w:p>
    <w:p>
      <w:pPr>
        <w:pStyle w:val="FirstParagraph"/>
      </w:pPr>
      <w:r>
        <w:t xml:space="preserve">**Protocol Data (Accounting Standard):** GHG Protocol</w:t>
      </w:r>
    </w:p>
    <w:p>
      <w:pPr>
        <w:pStyle w:val="BodyText"/>
      </w:pPr>
      <w:r>
        <w:t xml:space="preserve">**Company Name:** mltzvsgdkx</w:t>
      </w:r>
    </w:p>
    <w:p>
      <w:pPr>
        <w:pStyle w:val="BodyText"/>
      </w:pPr>
      <w:r>
        <w:t xml:space="preserve">**Senior Sustainability Consultant:** juwgpoiwht</w:t>
      </w:r>
    </w:p>
    <w:p>
      <w:pPr>
        <w:pStyle w:val="BodyText"/>
      </w:pPr>
      <w:r>
        <w:t xml:space="preserve">This report is generated based on available data and industry standards. While efforts have been made to ensure accuracy and adherence to established methodologies, the results are indicative and subject to the quality and completeness of the provided input parameters and publicly available emission factors. It serves as a foundational analysis for mltzvsgdkx\'s sustainability initiatives.</w:t>
      </w:r>
    </w:p>
    <w:bookmarkEnd w:id="20"/>
    <w:bookmarkEnd w:id="21"/>
    <w:p>
      <w:pPr>
        <w:pStyle w:val="BodyText"/>
      </w:pPr>
      <w:r>
        <w:t xml:space="preserve">Product Carbon Footprint Report for viotgfqlor | Generated Date: May 25, 2026</w:t>
      </w:r>
    </w:p>
    <w:bookmarkStart w:id="48" w:name="Xe792a9889e28b9e199378ece6bd6ed2ca5c7ff8"/>
    <w:p>
      <w:pPr>
        <w:pStyle w:val="Heading1"/>
      </w:pPr>
      <w:r>
        <w:t xml:space="preserve">Product Carbon Footprint Analysis for viotgfqlor</w:t>
      </w:r>
    </w:p>
    <w:p>
      <w:pPr>
        <w:pStyle w:val="FirstParagraph"/>
      </w:pPr>
      <w:r>
        <w:rPr>
          <w:bCs/>
          <w:b/>
        </w:rPr>
        <w:t xml:space="preserve">Prepared for:</w:t>
      </w:r>
      <w:r>
        <w:t xml:space="preserve"> </w:t>
      </w:r>
      <w:r>
        <w:t xml:space="preserve">mltzvsgdkx</w:t>
      </w:r>
    </w:p>
    <w:p>
      <w:pPr>
        <w:pStyle w:val="BodyText"/>
      </w:pPr>
      <w:r>
        <w:rPr>
          <w:bCs/>
          <w:b/>
        </w:rPr>
        <w:t xml:space="preserve">Prepared by:</w:t>
      </w:r>
      <w:r>
        <w:t xml:space="preserve"> </w:t>
      </w:r>
      <w:r>
        <w:t xml:space="preserve">juwgpoiwht, Senior Sustainability Consultant</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"viotgfqlor" manufactured by mltzvsgdkx. The analysis adheres strictly to the Greenhouse Gas (GHG) Protocol, incorporating the latest 2026 Land Sector and Removals (LSR) Standard update and ensuring robust Scope 3 compliance. The aim is to quantify the greenhouse gas emissions associated with the product\'s lifecycle, identify emission hotspots, and provide a reliable baseline for future reduction strategies. The total cradle-to-grave PCF for one functional unit of viotgfqlor is calculated, considering material acquisition, manufacturing, transportation, use phase, and end-of-life scenarios.</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The imperative for businesses to understand and mitigate their environmental impact has never been greater. For mltzvsgdkx, assessing the Product Carbon Footprint (PCF) of "viotgfqlor" is a critical step towards achieving its sustainability goals and responding to stakeholder demands for transparency. This report outlines the methodology, data, and results of a comprehensive PCF analysis, acting as juwgpoiwht, a Senior Sustainability Consultant specializing in GHG Protocol. The analysis explicitly follows the</w:t>
      </w:r>
      <w:r>
        <w:t xml:space="preserve"> </w:t>
      </w:r>
      <w:r>
        <w:rPr>
          <w:bCs/>
          <w:b/>
        </w:rPr>
        <w:t xml:space="preserve">GHG Protocol</w:t>
      </w:r>
      <w:r>
        <w:t xml:space="preserve"> </w:t>
      </w:r>
      <w:r>
        <w:t xml:space="preserve">accounting standard, providing a structured approach to categorize and quantify emissions across the value chain.</w:t>
      </w:r>
    </w:p>
    <w:p>
      <w:r>
        <w:pict>
          <v:rect style="width:0;height:1.5pt" o:hralign="center" o:hrstd="t" o:hr="t"/>
        </w:pict>
      </w:r>
    </w:p>
    <w:bookmarkEnd w:id="23"/>
    <w:bookmarkStart w:id="31" w:name="methodology"/>
    <w:p>
      <w:pPr>
        <w:pStyle w:val="Heading2"/>
      </w:pPr>
      <w:r>
        <w:t xml:space="preserve">2. Methodology</w:t>
      </w:r>
    </w:p>
    <w:p>
      <w:pPr>
        <w:pStyle w:val="FirstParagraph"/>
      </w:pPr>
      <w:r>
        <w:t xml:space="preserve">The PCF analysis was conducted following the five-step methodology recommended by the GHG Protocol, integrated with the specific parameters and requirements outlined for this study. Special attention has been paid to the 2026 LSR Update and achieving at least 95% coverage for Scope 3 emissions, reflecting current best practices and future compliance requirements.</w:t>
      </w:r>
    </w:p>
    <w:bookmarkStart w:id="24"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viotgfqlor</w:t>
      </w:r>
      <w:r>
        <w:t xml:space="preserve">.</w:t>
      </w:r>
    </w:p>
    <w:p>
      <w:pPr>
        <w:numPr>
          <w:ilvl w:val="0"/>
          <w:numId w:val="1001"/>
        </w:numPr>
        <w:pStyle w:val="Compact"/>
      </w:pPr>
      <w:r>
        <w:rPr>
          <w:bCs/>
          <w:b/>
        </w:rPr>
        <w:t xml:space="preserve">System Boundary:</w:t>
      </w:r>
      <w:r>
        <w:t xml:space="preserve"> </w:t>
      </w:r>
      <w:r>
        <w:t xml:space="preserve">The primary system boundary for the core product footprint is</w:t>
      </w:r>
      <w:r>
        <w:t xml:space="preserve"> </w:t>
      </w:r>
      <w:r>
        <w:rPr>
          <w:bCs/>
          <w:b/>
        </w:rPr>
        <w:t xml:space="preserve">factory_gate</w:t>
      </w:r>
      <w:r>
        <w:t xml:space="preserve"> </w:t>
      </w:r>
      <w:r>
        <w:t xml:space="preserve">(cradle-to-gate). However, as per client requirements, the analysis extends to include downstream emissions from the use phase and end-of-life (EoL) scenarios, providing a comprehensive cradle-to-grave perspective for the product\'s full lifecycle impact.</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supply chain focus on</w:t>
      </w:r>
      <w:r>
        <w:t xml:space="preserve"> </w:t>
      </w:r>
      <w:r>
        <w:rPr>
          <w:bCs/>
          <w:b/>
        </w:rPr>
        <w:t xml:space="preserve">Europe</w:t>
      </w:r>
      <w:r>
        <w:t xml:space="preserve"> </w:t>
      </w:r>
      <w:r>
        <w:t xml:space="preserve">for upstream materials and components. Downstream transportation and use phase are considered globally or regionally as appropriate to the product\'s market.</w:t>
      </w:r>
    </w:p>
    <w:p>
      <w:pPr>
        <w:numPr>
          <w:ilvl w:val="0"/>
          <w:numId w:val="1001"/>
        </w:numPr>
        <w:pStyle w:val="Compact"/>
      </w:pPr>
      <w:r>
        <w:rPr>
          <w:bCs/>
          <w:b/>
        </w:rPr>
        <w:t xml:space="preserve">Allocation:</w:t>
      </w:r>
      <w:r>
        <w:t xml:space="preserve"> </w:t>
      </w:r>
      <w:r>
        <w:t xml:space="preserve">Emissions are allocated directly to the functional unit. For shared processes (e.g., transportation with multiple goods), allocation is based on mass-distance or proportional share where applicable. For manufacturing overheads, a mass-based allocation is applied.</w:t>
      </w:r>
    </w:p>
    <w:bookmarkEnd w:id="24"/>
    <w:bookmarkStart w:id="30" w:name="Xda8e5a63f0c58f78cfd3af5f8eb71a63403a897"/>
    <w:p>
      <w:pPr>
        <w:pStyle w:val="Heading3"/>
      </w:pPr>
      <w:r>
        <w:t xml:space="preserve">2.2. Map Lifecycle (LCI Inventory Stages) &amp; Collect Data (Primary/Secondary Data Points)</w:t>
      </w:r>
    </w:p>
    <w:p>
      <w:pPr>
        <w:pStyle w:val="FirstParagraph"/>
      </w:pPr>
      <w:r>
        <w:t xml:space="preserve">This phase involved mapping all relevant lifecycle stages and collecting both primary and secondary data. Primary data was provided by mltzvsgdkx, while secondary data, particularly for emission factors, was sourced from industry-standard databases like Ecoinvent and DEFRA. This approach ensures a high level of detail and accuracy, especially for material impacts and energy consumption.</w:t>
      </w:r>
    </w:p>
    <w:bookmarkStart w:id="25" w:name="X1428ec1d1885feb992205144a5c6ed055eb01cb"/>
    <w:p>
      <w:pPr>
        <w:pStyle w:val="Heading4"/>
      </w:pPr>
      <w:r>
        <w:t xml:space="preserve">2.2.1. Material Inputs (Detailed Bill of Materials - BOM)</w:t>
      </w:r>
    </w:p>
    <w:p>
      <w:pPr>
        <w:pStyle w:val="FirstParagraph"/>
      </w:pPr>
      <w:r>
        <w:t xml:space="preserve">The provided Detailed Bill of Materials (BOM) for "oeunddtj" (representing viotgfqlor) served as the primary data source for material acquisition and pre-processing impacts. The specific \'Total Carbon\' values for each item, derived from their respective emission factors and quantities, have been directly used in calculations.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5.00</w:t>
            </w:r>
          </w:p>
        </w:tc>
      </w:tr>
      <w:tr>
        <w:tc>
          <w:tcPr/>
          <w:p>
            <w:pPr>
              <w:pStyle w:val="Compact"/>
              <w:jc w:val="left"/>
            </w:pPr>
            <w:r>
              <w:t xml:space="preserve">P1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E1</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B1</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PK1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t xml:space="preserve">Total Material Impact (Cradle-to-Gate):</w:t>
            </w:r>
          </w:p>
        </w:tc>
        <w:tc>
          <w:tcPr/>
          <w:p>
            <w:pPr>
              <w:pStyle w:val="Compact"/>
              <w:jc w:val="left"/>
            </w:pPr>
            <w:r>
              <w:rPr>
                <w:bCs/>
                <w:b/>
              </w:rPr>
              <w:t xml:space="preserve">8.75 kgCO2e</w:t>
            </w:r>
          </w:p>
        </w:tc>
      </w:tr>
    </w:tbl>
    <w:p>
      <w:pPr>
        <w:pStyle w:val="BodyText"/>
      </w:pPr>
      <w:r>
        <w:t xml:space="preserve">Total Product Mass (for transportation and EoL, excluding packaging for core product EoL): 0.5 kg (Al) + 0.3 kg (Plastic) + 0.1 kg (Electronics) + 0.05 kg (Battery) = 0.95 kg.</w:t>
      </w:r>
    </w:p>
    <w:bookmarkEnd w:id="25"/>
    <w:bookmarkStart w:id="26" w:name="energy-inputs-production-phase"/>
    <w:p>
      <w:pPr>
        <w:pStyle w:val="Heading4"/>
      </w:pPr>
      <w:r>
        <w:t xml:space="preserve">2.2.2. Energy Inputs (Production Phase)</w:t>
      </w:r>
    </w:p>
    <w:p>
      <w:pPr>
        <w:numPr>
          <w:ilvl w:val="0"/>
          <w:numId w:val="1002"/>
        </w:numPr>
        <w:pStyle w:val="Compact"/>
      </w:pPr>
      <w:r>
        <w:rPr>
          <w:bCs/>
          <w:b/>
        </w:rPr>
        <w:t xml:space="preserve">Renewable Energy Usage:</w:t>
      </w:r>
      <w:r>
        <w:t xml:space="preserve"> </w:t>
      </w:r>
      <w:r>
        <w:t xml:space="preserve">rxjhiezkpn (60%)</w:t>
      </w:r>
    </w:p>
    <w:p>
      <w:pPr>
        <w:numPr>
          <w:ilvl w:val="0"/>
          <w:numId w:val="1002"/>
        </w:numPr>
        <w:pStyle w:val="Compact"/>
      </w:pPr>
      <w:r>
        <w:rPr>
          <w:bCs/>
          <w:b/>
        </w:rPr>
        <w:t xml:space="preserve">Energy Intensity (kWh/unit):</w:t>
      </w:r>
      <w:r>
        <w:t xml:space="preserve"> </w:t>
      </w:r>
      <w:r>
        <w:t xml:space="preserve">nlhmjtlqju (5.0 kWh/unit)</w:t>
      </w:r>
    </w:p>
    <w:p>
      <w:pPr>
        <w:numPr>
          <w:ilvl w:val="0"/>
          <w:numId w:val="1002"/>
        </w:numPr>
        <w:pStyle w:val="Compact"/>
      </w:pPr>
      <w:r>
        <w:rPr>
          <w:bCs/>
          <w:b/>
        </w:rPr>
        <w:t xml:space="preserve">Geographic Scope:</w:t>
      </w:r>
      <w:r>
        <w:t xml:space="preserve"> </w:t>
      </w:r>
      <w:r>
        <w:t xml:space="preserve">China (for manufacturing electricity). Average electricity grid emission factor for China used: 0.6 kgCO2e/kWh.</w:t>
      </w:r>
    </w:p>
    <w:bookmarkEnd w:id="26"/>
    <w:bookmarkStart w:id="27" w:name="transportation-data"/>
    <w:p>
      <w:pPr>
        <w:pStyle w:val="Heading4"/>
      </w:pPr>
      <w:r>
        <w:t xml:space="preserve">2.2.3. Transportation Data</w:t>
      </w:r>
    </w:p>
    <w:p>
      <w:pPr>
        <w:numPr>
          <w:ilvl w:val="0"/>
          <w:numId w:val="1003"/>
        </w:numPr>
        <w:pStyle w:val="Compact"/>
      </w:pPr>
      <w:r>
        <w:rPr>
          <w:bCs/>
          <w:b/>
        </w:rPr>
        <w:t xml:space="preserve">Upstream Transport Mode:</w:t>
      </w:r>
      <w:r>
        <w:t xml:space="preserve"> </w:t>
      </w:r>
      <w:r>
        <w:t xml:space="preserve">Select Mode (Assumed: Road Transport - Heavy Goods Vehicle, HGV &gt;20t)</w:t>
      </w:r>
    </w:p>
    <w:p>
      <w:pPr>
        <w:numPr>
          <w:ilvl w:val="0"/>
          <w:numId w:val="1003"/>
        </w:numPr>
        <w:pStyle w:val="Compact"/>
      </w:pPr>
      <w:r>
        <w:rPr>
          <w:bCs/>
          <w:b/>
        </w:rPr>
        <w:t xml:space="preserve">Upstream Transport Distance:</w:t>
      </w:r>
      <w:r>
        <w:t xml:space="preserve"> </w:t>
      </w:r>
      <w:r>
        <w:t xml:space="preserve">owklwnzwil (Assumed: 1500 km for raw materials to factory in China)</w:t>
      </w:r>
    </w:p>
    <w:p>
      <w:pPr>
        <w:numPr>
          <w:ilvl w:val="0"/>
          <w:numId w:val="1003"/>
        </w:numPr>
        <w:pStyle w:val="Compact"/>
      </w:pPr>
      <w:r>
        <w:rPr>
          <w:bCs/>
          <w:b/>
        </w:rPr>
        <w:t xml:space="preserve">Last-Mile Delivery Channel:</w:t>
      </w:r>
      <w:r>
        <w:t xml:space="preserve"> </w:t>
      </w:r>
      <w:r>
        <w:t xml:space="preserve">Delivery Type (Assumed: Courier Van (Diesel))</w:t>
      </w:r>
    </w:p>
    <w:p>
      <w:pPr>
        <w:numPr>
          <w:ilvl w:val="0"/>
          <w:numId w:val="1003"/>
        </w:numPr>
        <w:pStyle w:val="Compact"/>
      </w:pPr>
      <w:r>
        <w:rPr>
          <w:bCs/>
          <w:b/>
        </w:rPr>
        <w:t xml:space="preserve">Last-Mile Delivery Distance:</w:t>
      </w:r>
      <w:r>
        <w:t xml:space="preserve"> </w:t>
      </w:r>
      <w:r>
        <w:t xml:space="preserve">(Assumed: 100 km for average last-mile delivery within Europe)</w:t>
      </w:r>
    </w:p>
    <w:p>
      <w:pPr>
        <w:numPr>
          <w:ilvl w:val="0"/>
          <w:numId w:val="1003"/>
        </w:numPr>
        <w:pStyle w:val="Compact"/>
      </w:pPr>
      <w:r>
        <w:rPr>
          <w:bCs/>
          <w:b/>
        </w:rPr>
        <w:t xml:space="preserve">Emission Factors:</w:t>
      </w:r>
    </w:p>
    <w:p>
      <w:pPr>
        <w:numPr>
          <w:ilvl w:val="1"/>
          <w:numId w:val="1004"/>
        </w:numPr>
        <w:pStyle w:val="Compact"/>
      </w:pPr>
      <w:r>
        <w:t xml:space="preserve">HGV (&gt;20t) (Well-to-Wheel): 0.08 kgCO2e/tonne-km.</w:t>
      </w:r>
    </w:p>
    <w:p>
      <w:pPr>
        <w:numPr>
          <w:ilvl w:val="1"/>
          <w:numId w:val="1004"/>
        </w:numPr>
        <w:pStyle w:val="Compact"/>
      </w:pPr>
      <w:r>
        <w:t xml:space="preserve">Courier Van (Diesel) (Well-to-Wheel): 0.14147 kgCO2e/tonne-km.</w:t>
      </w:r>
    </w:p>
    <w:bookmarkEnd w:id="27"/>
    <w:bookmarkStart w:id="28" w:name="use-phase-data"/>
    <w:p>
      <w:pPr>
        <w:pStyle w:val="Heading4"/>
      </w:pPr>
      <w:r>
        <w:t xml:space="preserve">2.2.4. Use Phase Data</w:t>
      </w:r>
    </w:p>
    <w:p>
      <w:pPr>
        <w:numPr>
          <w:ilvl w:val="0"/>
          <w:numId w:val="1005"/>
        </w:numPr>
        <w:pStyle w:val="Compact"/>
      </w:pPr>
      <w:r>
        <w:rPr>
          <w:bCs/>
          <w:b/>
        </w:rPr>
        <w:t xml:space="preserve">Product Lifespan:</w:t>
      </w:r>
      <w:r>
        <w:t xml:space="preserve"> </w:t>
      </w:r>
      <w:r>
        <w:t xml:space="preserve">wxpyrfdjeq (5 years)</w:t>
      </w:r>
    </w:p>
    <w:p>
      <w:pPr>
        <w:numPr>
          <w:ilvl w:val="0"/>
          <w:numId w:val="1005"/>
        </w:numPr>
        <w:pStyle w:val="Compact"/>
      </w:pPr>
      <w:r>
        <w:rPr>
          <w:bCs/>
          <w:b/>
        </w:rPr>
        <w:t xml:space="preserve">Energy Consumption in Use:</w:t>
      </w:r>
      <w:r>
        <w:t xml:space="preserve"> </w:t>
      </w:r>
      <w:r>
        <w:t xml:space="preserve">tgxhkefzfh (20 kWh/year)</w:t>
      </w:r>
    </w:p>
    <w:p>
      <w:pPr>
        <w:numPr>
          <w:ilvl w:val="0"/>
          <w:numId w:val="1005"/>
        </w:numPr>
        <w:pStyle w:val="Compact"/>
      </w:pPr>
      <w:r>
        <w:rPr>
          <w:bCs/>
          <w:b/>
        </w:rPr>
        <w:t xml:space="preserve">Geographic Scope:</w:t>
      </w:r>
      <w:r>
        <w:t xml:space="preserve"> </w:t>
      </w:r>
      <w:r>
        <w:t xml:space="preserve">Europe (for use phase electricity). Average electricity grid emission factor for Europe used: 0.25 kgCO2e/kWh.</w:t>
      </w:r>
    </w:p>
    <w:bookmarkEnd w:id="28"/>
    <w:bookmarkStart w:id="29" w:name="end-of-life-eol-scenarios"/>
    <w:p>
      <w:pPr>
        <w:pStyle w:val="Heading4"/>
      </w:pPr>
      <w:r>
        <w:t xml:space="preserve">2.2.5. End-of-Life (EoL) Scenarios</w:t>
      </w:r>
    </w:p>
    <w:p>
      <w:pPr>
        <w:numPr>
          <w:ilvl w:val="0"/>
          <w:numId w:val="1006"/>
        </w:numPr>
        <w:pStyle w:val="Compact"/>
      </w:pPr>
      <w:r>
        <w:rPr>
          <w:bCs/>
          <w:b/>
        </w:rPr>
        <w:t xml:space="preserve">Recyclability Percentage:</w:t>
      </w:r>
      <w:r>
        <w:t xml:space="preserve"> </w:t>
      </w:r>
      <w:r>
        <w:t xml:space="preserve">wuudpgxdto (80%)</w:t>
      </w:r>
    </w:p>
    <w:p>
      <w:pPr>
        <w:numPr>
          <w:ilvl w:val="0"/>
          <w:numId w:val="1006"/>
        </w:numPr>
        <w:pStyle w:val="Compact"/>
      </w:pPr>
      <w:r>
        <w:rPr>
          <w:bCs/>
          <w:b/>
        </w:rPr>
        <w:t xml:space="preserve">Circular/Take-back Programs:</w:t>
      </w:r>
      <w:r>
        <w:t xml:space="preserve"> </w:t>
      </w:r>
      <w:r>
        <w:t xml:space="preserve">wlkiwlgozi ("Active consumer take-back program for end-of-life electronics, fostering material recovery and responsible recycling.")</w:t>
      </w:r>
    </w:p>
    <w:p>
      <w:pPr>
        <w:numPr>
          <w:ilvl w:val="0"/>
          <w:numId w:val="1006"/>
        </w:numPr>
        <w:pStyle w:val="Compact"/>
      </w:pPr>
      <w:r>
        <w:rPr>
          <w:bCs/>
          <w:b/>
        </w:rPr>
        <w:t xml:space="preserve">Landfill Emission Factor (for un-recycled waste):</w:t>
      </w:r>
      <w:r>
        <w:t xml:space="preserve"> </w:t>
      </w:r>
      <w:r>
        <w:t xml:space="preserve">0.15 kgCO2e/kg (approx. 150 kgCO2e/tonne) for mixed waste landfilled.</w:t>
      </w:r>
    </w:p>
    <w:p>
      <w:r>
        <w:pict>
          <v:rect style="width:0;height:1.5pt" o:hralign="center" o:hrstd="t" o:hr="t"/>
        </w:pict>
      </w:r>
    </w:p>
    <w:bookmarkEnd w:id="29"/>
    <w:bookmarkEnd w:id="30"/>
    <w:bookmarkEnd w:id="31"/>
    <w:bookmarkStart w:id="43" w:name="X2c62247db19834934c44c209ad423fe06ba5c64"/>
    <w:p>
      <w:pPr>
        <w:pStyle w:val="Heading2"/>
      </w:pPr>
      <w:r>
        <w:t xml:space="preserve">3. Calculation of Emissions (Activity * Emission Factor = CO2e)</w:t>
      </w:r>
    </w:p>
    <w:p>
      <w:pPr>
        <w:pStyle w:val="FirstParagraph"/>
      </w:pPr>
      <w:r>
        <w:t xml:space="preserve">Emissions are categorized according to the GHG Protocol Scopes 1, 2, and 3. The 2026 LSR Update is considered for any land-related impacts or removals if applicable; however, for this specific product (viotgfqlor, likely an electronic device), direct land-use change emissions within the product lifecycle are generally minimal unless related to raw material extraction or specific bio-based materials not detailed in the provided BOM. No direct land-use change emissions are quantified in this report without specific data, but the principle of the LSR Standard is acknowledged for future application where relevant to mltzvsgdkx\'s broader portfolio.</w:t>
      </w:r>
    </w:p>
    <w:bookmarkStart w:id="32" w:name="scope-1-direct-emissions"/>
    <w:p>
      <w:pPr>
        <w:pStyle w:val="Heading3"/>
      </w:pPr>
      <w:r>
        <w:t xml:space="preserve">3.1. Scope 1: Direct Emissions</w:t>
      </w:r>
    </w:p>
    <w:p>
      <w:pPr>
        <w:pStyle w:val="FirstParagraph"/>
      </w:pPr>
      <w:r>
        <w:t xml:space="preserve">For a product-level PCF with a \'factory_gate\' boundary, direct emissions from sources owned or controlled by mltzvsgdkx (e.g., on-site fuel combustion for heating or processes) are generally limited. Without specific data on on-site fuel consumption for viotgfqlor\'s manufacturing, Scope 1 emissions are considered negligible or implicitly covered by upstream/Scope 2 factors related to energy and materials.</w:t>
      </w:r>
    </w:p>
    <w:p>
      <w:pPr>
        <w:pStyle w:val="BodyText"/>
      </w:pPr>
      <w:r>
        <w:rPr>
          <w:bCs/>
          <w:b/>
        </w:rPr>
        <w:t xml:space="preserve">Total Scope 1 Emissions: 0.00 kgCO2e/unit (assumed negligible/integrated)</w:t>
      </w:r>
    </w:p>
    <w:bookmarkEnd w:id="32"/>
    <w:bookmarkStart w:id="33" w:name="Xe578209a49eabfde2edaf977ad2b592c314c527"/>
    <w:p>
      <w:pPr>
        <w:pStyle w:val="Heading3"/>
      </w:pPr>
      <w:r>
        <w:t xml:space="preserve">3.2. Scope 2: Energy Indirect Emissions (Purchased Electricity)</w:t>
      </w:r>
    </w:p>
    <w:p>
      <w:pPr>
        <w:pStyle w:val="FirstParagraph"/>
      </w:pPr>
      <w:r>
        <w:t xml:space="preserve">These emissions arise from the generation of purchased electricity for the manufacturing of viotgfqlor in China.</w:t>
      </w:r>
    </w:p>
    <w:p>
      <w:pPr>
        <w:numPr>
          <w:ilvl w:val="0"/>
          <w:numId w:val="1007"/>
        </w:numPr>
        <w:pStyle w:val="Compact"/>
      </w:pPr>
      <w:r>
        <w:t xml:space="preserve">Energy Intensity: 5.0 kWh/unit</w:t>
      </w:r>
    </w:p>
    <w:p>
      <w:pPr>
        <w:numPr>
          <w:ilvl w:val="0"/>
          <w:numId w:val="1007"/>
        </w:numPr>
        <w:pStyle w:val="Compact"/>
      </w:pPr>
      <w:r>
        <w:t xml:space="preserve">Renewable Energy Usage: 60%</w:t>
      </w:r>
    </w:p>
    <w:p>
      <w:pPr>
        <w:numPr>
          <w:ilvl w:val="0"/>
          <w:numId w:val="1007"/>
        </w:numPr>
        <w:pStyle w:val="Compact"/>
      </w:pPr>
      <w:r>
        <w:t xml:space="preserve">Non-Renewable Energy Portion: 5.0 kWh/unit * (1 - 0.60) = 2.0 kWh/unit</w:t>
      </w:r>
    </w:p>
    <w:p>
      <w:pPr>
        <w:numPr>
          <w:ilvl w:val="0"/>
          <w:numId w:val="1007"/>
        </w:numPr>
        <w:pStyle w:val="Compact"/>
      </w:pPr>
      <w:r>
        <w:t xml:space="preserve">China Grid Emission Factor: 0.6 kgCO2e/kWh</w:t>
      </w:r>
    </w:p>
    <w:p>
      <w:pPr>
        <w:numPr>
          <w:ilvl w:val="0"/>
          <w:numId w:val="1007"/>
        </w:numPr>
        <w:pStyle w:val="Compact"/>
      </w:pPr>
      <w:r>
        <w:rPr>
          <w:bCs/>
          <w:b/>
        </w:rPr>
        <w:t xml:space="preserve">Scope 2 Emissions = 2.0 kWh/unit * 0.6 kgCO2e/kWh = 1.20 kgCO2e/unit</w:t>
      </w:r>
    </w:p>
    <w:bookmarkEnd w:id="33"/>
    <w:bookmarkStart w:id="41" w:name="Xd1c2b652bc5876514f180a21f002993b8de8e83"/>
    <w:p>
      <w:pPr>
        <w:pStyle w:val="Heading3"/>
      </w:pPr>
      <w:r>
        <w:t xml:space="preserve">3.3. Scope 3: Other Indirect Emissions (Value Chain)</w:t>
      </w:r>
    </w:p>
    <w:p>
      <w:pPr>
        <w:pStyle w:val="FirstParagraph"/>
      </w:pPr>
      <w:r>
        <w:t xml:space="preserve">Scope 3 emissions encompass all other indirect emissions from the value chain, both upstream (e.g., purchased goods and services, upstream transportation) and downstream (e.g., downstream transportation, use of sold products, end-of-life treatment). Given that Scope 3 often accounts for 70-90% of a company\'s total footprint, ensuring at least 95% coverage for reporting is crucial.</w:t>
      </w:r>
    </w:p>
    <w:bookmarkStart w:id="36" w:name="upstream-emissions-cradle-to-gate"/>
    <w:p>
      <w:pPr>
        <w:pStyle w:val="Heading4"/>
      </w:pPr>
      <w:r>
        <w:t xml:space="preserve">3.3.1. Upstream Emissions (Cradle-to-Gate)</w:t>
      </w:r>
    </w:p>
    <w:bookmarkStart w:id="34" w:name="purchased-goods-and-services-materials"/>
    <w:p>
      <w:pPr>
        <w:pStyle w:val="Heading5"/>
      </w:pPr>
      <w:r>
        <w:t xml:space="preserve">3.3.1.1. Purchased Goods and Services (Materials)</w:t>
      </w:r>
    </w:p>
    <w:p>
      <w:pPr>
        <w:pStyle w:val="FirstParagraph"/>
      </w:pPr>
      <w:r>
        <w:t xml:space="preserve">Emissions from the extraction, processing, and manufacturing of raw materials and components, directly calculated from the provided BOM\'s \'Total Carbon\' values.</w:t>
      </w:r>
    </w:p>
    <w:p>
      <w:pPr>
        <w:numPr>
          <w:ilvl w:val="0"/>
          <w:numId w:val="1008"/>
        </w:numPr>
        <w:pStyle w:val="Compact"/>
      </w:pPr>
      <w:r>
        <w:rPr>
          <w:bCs/>
          <w:b/>
        </w:rPr>
        <w:t xml:space="preserve">Material Impact (from BOM): 8.75 kgCO2e/unit</w:t>
      </w:r>
    </w:p>
    <w:bookmarkEnd w:id="34"/>
    <w:bookmarkStart w:id="35" w:name="X25903b4128baa197f82a3c9a5fb2b93d32933a9"/>
    <w:p>
      <w:pPr>
        <w:pStyle w:val="Heading5"/>
      </w:pPr>
      <w:r>
        <w:t xml:space="preserve">3.3.1.2. Upstream Transportation and Distribution (Raw Materials to Factory)</w:t>
      </w:r>
    </w:p>
    <w:p>
      <w:pPr>
        <w:pStyle w:val="FirstParagraph"/>
      </w:pPr>
      <w:r>
        <w:t xml:space="preserve">Emissions from transporting raw materials to the manufacturing facility in China.</w:t>
      </w:r>
    </w:p>
    <w:p>
      <w:pPr>
        <w:numPr>
          <w:ilvl w:val="0"/>
          <w:numId w:val="1009"/>
        </w:numPr>
        <w:pStyle w:val="Compact"/>
      </w:pPr>
      <w:r>
        <w:t xml:space="preserve">Total Raw Material Mass: 1.15 kg (0.00115 tonnes, including packaging for initial transport calculation)</w:t>
      </w:r>
    </w:p>
    <w:p>
      <w:pPr>
        <w:numPr>
          <w:ilvl w:val="0"/>
          <w:numId w:val="1009"/>
        </w:numPr>
        <w:pStyle w:val="Compact"/>
      </w:pPr>
      <w:r>
        <w:t xml:space="preserve">Transport Distance: 1500 km</w:t>
      </w:r>
    </w:p>
    <w:p>
      <w:pPr>
        <w:numPr>
          <w:ilvl w:val="0"/>
          <w:numId w:val="1009"/>
        </w:numPr>
        <w:pStyle w:val="Compact"/>
      </w:pPr>
      <w:r>
        <w:t xml:space="preserve">Transport Mode: HGV (&gt;20t)</w:t>
      </w:r>
    </w:p>
    <w:p>
      <w:pPr>
        <w:numPr>
          <w:ilvl w:val="0"/>
          <w:numId w:val="1009"/>
        </w:numPr>
        <w:pStyle w:val="Compact"/>
      </w:pPr>
      <w:r>
        <w:t xml:space="preserve">Emission Factor: 0.08 kgCO2e/tonne-km</w:t>
      </w:r>
    </w:p>
    <w:p>
      <w:pPr>
        <w:numPr>
          <w:ilvl w:val="0"/>
          <w:numId w:val="1009"/>
        </w:numPr>
        <w:pStyle w:val="Compact"/>
      </w:pPr>
      <w:r>
        <w:rPr>
          <w:bCs/>
          <w:b/>
        </w:rPr>
        <w:t xml:space="preserve">Upstream Transport Emissions = 0.00115 tonnes * 1500 km * 0.08 kgCO2e/tonne-km = 0.138 kgCO2e/unit</w:t>
      </w:r>
    </w:p>
    <w:bookmarkEnd w:id="35"/>
    <w:bookmarkEnd w:id="36"/>
    <w:bookmarkStart w:id="40" w:name="Xd54888e5784486cfaf79cb4ef8febcd852aa115"/>
    <w:p>
      <w:pPr>
        <w:pStyle w:val="Heading4"/>
      </w:pPr>
      <w:r>
        <w:t xml:space="preserve">3.3.2. Downstream Emissions (Beyond Factory Gate - Included as per Requirements)</w:t>
      </w:r>
    </w:p>
    <w:bookmarkStart w:id="37" w:name="X57c887a1fd0735a9b8db55858fd23d86f021b2d"/>
    <w:p>
      <w:pPr>
        <w:pStyle w:val="Heading5"/>
      </w:pPr>
      <w:r>
        <w:t xml:space="preserve">3.3.2.1. Downstream Transportation and Distribution (Last-Mile Delivery)</w:t>
      </w:r>
    </w:p>
    <w:p>
      <w:pPr>
        <w:pStyle w:val="FirstParagraph"/>
      </w:pPr>
      <w:r>
        <w:t xml:space="preserve">Emissions from delivering the finished product to the end-customer.</w:t>
      </w:r>
    </w:p>
    <w:p>
      <w:pPr>
        <w:numPr>
          <w:ilvl w:val="0"/>
          <w:numId w:val="1010"/>
        </w:numPr>
        <w:pStyle w:val="Compact"/>
      </w:pPr>
      <w:r>
        <w:t xml:space="preserve">Product Mass for Delivery: 0.95 kg (0.00095 tonnes, core product mass)</w:t>
      </w:r>
    </w:p>
    <w:p>
      <w:pPr>
        <w:numPr>
          <w:ilvl w:val="0"/>
          <w:numId w:val="1010"/>
        </w:numPr>
        <w:pStyle w:val="Compact"/>
      </w:pPr>
      <w:r>
        <w:t xml:space="preserve">Delivery Distance: 100 km</w:t>
      </w:r>
    </w:p>
    <w:p>
      <w:pPr>
        <w:numPr>
          <w:ilvl w:val="0"/>
          <w:numId w:val="1010"/>
        </w:numPr>
        <w:pStyle w:val="Compact"/>
      </w:pPr>
      <w:r>
        <w:t xml:space="preserve">Delivery Channel: Courier Van (Diesel)</w:t>
      </w:r>
    </w:p>
    <w:p>
      <w:pPr>
        <w:numPr>
          <w:ilvl w:val="0"/>
          <w:numId w:val="1010"/>
        </w:numPr>
        <w:pStyle w:val="Compact"/>
      </w:pPr>
      <w:r>
        <w:t xml:space="preserve">Emission Factor: 0.14147 kgCO2e/tonne-km</w:t>
      </w:r>
    </w:p>
    <w:p>
      <w:pPr>
        <w:numPr>
          <w:ilvl w:val="0"/>
          <w:numId w:val="1010"/>
        </w:numPr>
        <w:pStyle w:val="Compact"/>
      </w:pPr>
      <w:r>
        <w:rPr>
          <w:bCs/>
          <w:b/>
        </w:rPr>
        <w:t xml:space="preserve">Last-Mile Delivery Emissions = 0.00095 tonnes * 100 km * 0.14147 kgCO2e/tonne-km = 0.01344 kgCO2e/unit</w:t>
      </w:r>
    </w:p>
    <w:bookmarkEnd w:id="37"/>
    <w:bookmarkStart w:id="38" w:name="use-phase-energy-consumption-in-use"/>
    <w:p>
      <w:pPr>
        <w:pStyle w:val="Heading5"/>
      </w:pPr>
      <w:r>
        <w:t xml:space="preserve">3.3.2.2. Use Phase (Energy Consumption in Use)</w:t>
      </w:r>
    </w:p>
    <w:p>
      <w:pPr>
        <w:pStyle w:val="FirstParagraph"/>
      </w:pPr>
      <w:r>
        <w:t xml:space="preserve">Emissions from the energy consumed by the product during its lifespan.</w:t>
      </w:r>
    </w:p>
    <w:p>
      <w:pPr>
        <w:numPr>
          <w:ilvl w:val="0"/>
          <w:numId w:val="1011"/>
        </w:numPr>
        <w:pStyle w:val="Compact"/>
      </w:pPr>
      <w:r>
        <w:t xml:space="preserve">Product Lifespan: 5 years</w:t>
      </w:r>
    </w:p>
    <w:p>
      <w:pPr>
        <w:numPr>
          <w:ilvl w:val="0"/>
          <w:numId w:val="1011"/>
        </w:numPr>
        <w:pStyle w:val="Compact"/>
      </w:pPr>
      <w:r>
        <w:t xml:space="preserve">Energy Consumption in Use: 20 kWh/year</w:t>
      </w:r>
    </w:p>
    <w:p>
      <w:pPr>
        <w:numPr>
          <w:ilvl w:val="0"/>
          <w:numId w:val="1011"/>
        </w:numPr>
        <w:pStyle w:val="Compact"/>
      </w:pPr>
      <w:r>
        <w:t xml:space="preserve">Total Energy Consumption over Lifespan: 20 kWh/year * 5 years = 100 kWh</w:t>
      </w:r>
    </w:p>
    <w:p>
      <w:pPr>
        <w:numPr>
          <w:ilvl w:val="0"/>
          <w:numId w:val="1011"/>
        </w:numPr>
        <w:pStyle w:val="Compact"/>
      </w:pPr>
      <w:r>
        <w:t xml:space="preserve">Use Phase Grid Emission Factor (Europe): 0.25 kgCO2e/kWh</w:t>
      </w:r>
    </w:p>
    <w:p>
      <w:pPr>
        <w:numPr>
          <w:ilvl w:val="0"/>
          <w:numId w:val="1011"/>
        </w:numPr>
        <w:pStyle w:val="Compact"/>
      </w:pPr>
      <w:r>
        <w:rPr>
          <w:bCs/>
          <w:b/>
        </w:rPr>
        <w:t xml:space="preserve">Use Phase Emissions = 100 kWh * 0.25 kgCO2e/kWh = 25.00 kgCO2e/unit</w:t>
      </w:r>
    </w:p>
    <w:bookmarkEnd w:id="38"/>
    <w:bookmarkStart w:id="39" w:name="end-of-life-treatment-of-sold-products"/>
    <w:p>
      <w:pPr>
        <w:pStyle w:val="Heading5"/>
      </w:pPr>
      <w:r>
        <w:t xml:space="preserve">3.3.2.3. End-of-Life Treatment of Sold Products</w:t>
      </w:r>
    </w:p>
    <w:p>
      <w:pPr>
        <w:pStyle w:val="FirstParagraph"/>
      </w:pPr>
      <w:r>
        <w:t xml:space="preserve">Emissions associated with the disposal or recycling of the product at the end of its life.</w:t>
      </w:r>
    </w:p>
    <w:p>
      <w:pPr>
        <w:numPr>
          <w:ilvl w:val="0"/>
          <w:numId w:val="1012"/>
        </w:numPr>
        <w:pStyle w:val="Compact"/>
      </w:pPr>
      <w:r>
        <w:t xml:space="preserve">Product Mass (for EoL): 0.95 kg</w:t>
      </w:r>
    </w:p>
    <w:p>
      <w:pPr>
        <w:numPr>
          <w:ilvl w:val="0"/>
          <w:numId w:val="1012"/>
        </w:numPr>
        <w:pStyle w:val="Compact"/>
      </w:pPr>
      <w:r>
        <w:t xml:space="preserve">Recyclability Percentage: 80%</w:t>
      </w:r>
    </w:p>
    <w:p>
      <w:pPr>
        <w:numPr>
          <w:ilvl w:val="0"/>
          <w:numId w:val="1012"/>
        </w:numPr>
        <w:pStyle w:val="Compact"/>
      </w:pPr>
      <w:r>
        <w:t xml:space="preserve">Mass to be Recycled: 0.95 kg * 0.80 = 0.76 kg</w:t>
      </w:r>
    </w:p>
    <w:p>
      <w:pPr>
        <w:numPr>
          <w:ilvl w:val="0"/>
          <w:numId w:val="1012"/>
        </w:numPr>
        <w:pStyle w:val="Compact"/>
      </w:pPr>
      <w:r>
        <w:t xml:space="preserve">Mass to Landfill: 0.95 kg * (1 - 0.80) = 0.19 kg</w:t>
      </w:r>
    </w:p>
    <w:p>
      <w:pPr>
        <w:numPr>
          <w:ilvl w:val="0"/>
          <w:numId w:val="1012"/>
        </w:numPr>
        <w:pStyle w:val="Compact"/>
      </w:pPr>
      <w:r>
        <w:t xml:space="preserve">Landfill Emission Factor: 0.15 kgCO2e/kg</w:t>
      </w:r>
    </w:p>
    <w:p>
      <w:pPr>
        <w:numPr>
          <w:ilvl w:val="0"/>
          <w:numId w:val="1012"/>
        </w:numPr>
        <w:pStyle w:val="Compact"/>
      </w:pPr>
      <w:r>
        <w:rPr>
          <w:bCs/>
          <w:b/>
        </w:rPr>
        <w:t xml:space="preserve">Landfill Emissions = 0.19 kg * 0.15 kgCO2e/kg = 0.0285 kgCO2e/unit</w:t>
      </w:r>
    </w:p>
    <w:p>
      <w:pPr>
        <w:numPr>
          <w:ilvl w:val="0"/>
          <w:numId w:val="1012"/>
        </w:numPr>
        <w:pStyle w:val="Compact"/>
      </w:pPr>
      <w:r>
        <w:t xml:space="preserve">Circular Programs: "Active consumer take-back program for end-of-life electronics, fostering material recovery and responsible recycling." (This program helps mitigate emissions through reduced landfilling and potential material recovery, offering an avoided burden, although not quantitatively credited in this direct emission sum without further data.)</w:t>
      </w:r>
    </w:p>
    <w:p>
      <w:pPr>
        <w:pStyle w:val="FirstParagraph"/>
      </w:pPr>
      <w:r>
        <w:t xml:space="preserve">The 2026 LSR Standard’s emphasis on removals and land-based emissions is particularly relevant for the potential credits from circular economy initiatives like take-back programs and high recyclability, which could result in avoided emissions from virgin material production or negative emissions from carbon capture technologies in recycling.</w:t>
      </w:r>
    </w:p>
    <w:bookmarkEnd w:id="39"/>
    <w:bookmarkEnd w:id="40"/>
    <w:bookmarkEnd w:id="41"/>
    <w:bookmarkStart w:id="42" w:name="summary-of-pcf-calculations-by-scope"/>
    <w:p>
      <w:pPr>
        <w:pStyle w:val="Heading3"/>
      </w:pPr>
      <w:r>
        <w:t xml:space="preserve">3.4. Summary of PCF Calculations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c>
          <w:tcPr/>
          <w:p>
            <w:pPr>
              <w:pStyle w:val="Compact"/>
              <w:jc w:val="left"/>
            </w:pPr>
            <w:r>
              <w:t xml:space="preserve">Notes</w:t>
            </w:r>
          </w:p>
        </w:tc>
      </w:tr>
      <w:tr>
        <w:tc>
          <w:tcPr/>
          <w:p>
            <w:pPr>
              <w:pStyle w:val="Compact"/>
              <w:jc w:val="left"/>
            </w:pPr>
            <w:r>
              <w:t xml:space="preserve">Scope 1</w:t>
            </w:r>
          </w:p>
        </w:tc>
        <w:tc>
          <w:tcPr/>
          <w:p>
            <w:pPr>
              <w:pStyle w:val="Compact"/>
              <w:jc w:val="left"/>
            </w:pPr>
            <w:r>
              <w:t xml:space="preserve">Direct Emissions (Owned/Controlled Sources)</w:t>
            </w:r>
          </w:p>
        </w:tc>
        <w:tc>
          <w:tcPr/>
          <w:p>
            <w:pPr>
              <w:pStyle w:val="Compact"/>
              <w:jc w:val="left"/>
            </w:pPr>
            <w:r>
              <w:t xml:space="preserve">0.00</w:t>
            </w:r>
          </w:p>
        </w:tc>
        <w:tc>
          <w:tcPr/>
          <w:p>
            <w:pPr>
              <w:pStyle w:val="Compact"/>
              <w:jc w:val="left"/>
            </w:pPr>
            <w:r>
              <w:t xml:space="preserve">Assumed negligible/integrated for PCF at factory_gate.</w:t>
            </w:r>
          </w:p>
        </w:tc>
      </w:tr>
      <w:tr>
        <w:tc>
          <w:tcPr/>
          <w:p>
            <w:pPr>
              <w:pStyle w:val="Compact"/>
              <w:jc w:val="left"/>
            </w:pPr>
            <w:r>
              <w:t xml:space="preserve">Scope 2</w:t>
            </w:r>
          </w:p>
        </w:tc>
        <w:tc>
          <w:tcPr/>
          <w:p>
            <w:pPr>
              <w:pStyle w:val="Compact"/>
              <w:jc w:val="left"/>
            </w:pPr>
            <w:r>
              <w:t xml:space="preserve">Purchased Electricity (Manufacturing in China)</w:t>
            </w:r>
          </w:p>
        </w:tc>
        <w:tc>
          <w:tcPr/>
          <w:p>
            <w:pPr>
              <w:pStyle w:val="Compact"/>
              <w:jc w:val="left"/>
            </w:pPr>
            <w:r>
              <w:t xml:space="preserve">1.20</w:t>
            </w:r>
          </w:p>
        </w:tc>
        <w:tc>
          <w:tcPr/>
          <w:p>
            <w:pPr>
              <w:pStyle w:val="Compact"/>
              <w:jc w:val="left"/>
            </w:pPr>
            <w:r>
              <w:t xml:space="preserve">Based on energy intensity and non-renewable portion of purchased electricity.</w:t>
            </w:r>
          </w:p>
        </w:tc>
      </w:tr>
      <w:tr>
        <w:tc>
          <w:tcPr>
            <w:gridSpan w:val="4"/>
          </w:tcPr>
          <w:p>
            <w:pPr>
              <w:pStyle w:val="Compact"/>
              <w:jc w:val="left"/>
            </w:pPr>
            <w:r>
              <w:t xml:space="preserve">Scope 3: Indirect Emissions (Value Chain)</w:t>
            </w:r>
          </w:p>
        </w:tc>
      </w:tr>
      <w:tr>
        <w:tc>
          <w:tcPr/>
          <w:p>
            <w:pPr>
              <w:pStyle w:val="Compact"/>
            </w:pPr>
          </w:p>
        </w:tc>
        <w:tc>
          <w:tcPr/>
          <w:p>
            <w:pPr>
              <w:pStyle w:val="Compact"/>
              <w:jc w:val="left"/>
            </w:pPr>
            <w:r>
              <w:t xml:space="preserve">Upstream - Purchased Goods &amp; Services (Materials)</w:t>
            </w:r>
          </w:p>
        </w:tc>
        <w:tc>
          <w:tcPr/>
          <w:p>
            <w:pPr>
              <w:pStyle w:val="Compact"/>
              <w:jc w:val="left"/>
            </w:pPr>
            <w:r>
              <w:t xml:space="preserve">8.75</w:t>
            </w:r>
          </w:p>
        </w:tc>
        <w:tc>
          <w:tcPr/>
          <w:p>
            <w:pPr>
              <w:pStyle w:val="Compact"/>
              <w:jc w:val="left"/>
            </w:pPr>
            <w:r>
              <w:t xml:space="preserve">From Detailed Bill of Materials.</w:t>
            </w:r>
          </w:p>
        </w:tc>
      </w:tr>
      <w:tr>
        <w:tc>
          <w:tcPr/>
          <w:p>
            <w:pPr>
              <w:pStyle w:val="Compact"/>
            </w:pPr>
          </w:p>
        </w:tc>
        <w:tc>
          <w:tcPr/>
          <w:p>
            <w:pPr>
              <w:pStyle w:val="Compact"/>
              <w:jc w:val="left"/>
            </w:pPr>
            <w:r>
              <w:t xml:space="preserve">Upstream - Transportation (Raw Materials to Factory)</w:t>
            </w:r>
          </w:p>
        </w:tc>
        <w:tc>
          <w:tcPr/>
          <w:p>
            <w:pPr>
              <w:pStyle w:val="Compact"/>
              <w:jc w:val="left"/>
            </w:pPr>
            <w:r>
              <w:t xml:space="preserve">0.138</w:t>
            </w:r>
          </w:p>
        </w:tc>
        <w:tc>
          <w:tcPr/>
          <w:p>
            <w:pPr>
              <w:pStyle w:val="Compact"/>
              <w:jc w:val="left"/>
            </w:pPr>
            <w:r>
              <w:t xml:space="preserve">HGV transport over 1500 km.</w:t>
            </w:r>
          </w:p>
        </w:tc>
      </w:tr>
      <w:tr>
        <w:tc>
          <w:tcPr/>
          <w:p>
            <w:pPr>
              <w:pStyle w:val="Compact"/>
            </w:pPr>
          </w:p>
        </w:tc>
        <w:tc>
          <w:tcPr/>
          <w:p>
            <w:pPr>
              <w:pStyle w:val="Compact"/>
              <w:jc w:val="left"/>
            </w:pPr>
            <w:r>
              <w:t xml:space="preserve">Downstream - Transportation (Last-Mile Delivery)</w:t>
            </w:r>
          </w:p>
        </w:tc>
        <w:tc>
          <w:tcPr/>
          <w:p>
            <w:pPr>
              <w:pStyle w:val="Compact"/>
              <w:jc w:val="left"/>
            </w:pPr>
            <w:r>
              <w:t xml:space="preserve">0.01344</w:t>
            </w:r>
          </w:p>
        </w:tc>
        <w:tc>
          <w:tcPr/>
          <w:p>
            <w:pPr>
              <w:pStyle w:val="Compact"/>
              <w:jc w:val="left"/>
            </w:pPr>
            <w:r>
              <w:t xml:space="preserve">Courier van transport over 100 km.</w:t>
            </w:r>
          </w:p>
        </w:tc>
      </w:tr>
      <w:tr>
        <w:tc>
          <w:tcPr/>
          <w:p>
            <w:pPr>
              <w:pStyle w:val="Compact"/>
            </w:pPr>
          </w:p>
        </w:tc>
        <w:tc>
          <w:tcPr/>
          <w:p>
            <w:pPr>
              <w:pStyle w:val="Compact"/>
              <w:jc w:val="left"/>
            </w:pPr>
            <w:r>
              <w:t xml:space="preserve">Downstream - Use Phase (Energy Consumption)</w:t>
            </w:r>
          </w:p>
        </w:tc>
        <w:tc>
          <w:tcPr/>
          <w:p>
            <w:pPr>
              <w:pStyle w:val="Compact"/>
              <w:jc w:val="left"/>
            </w:pPr>
            <w:r>
              <w:t xml:space="preserve">25.00</w:t>
            </w:r>
          </w:p>
        </w:tc>
        <w:tc>
          <w:tcPr/>
          <w:p>
            <w:pPr>
              <w:pStyle w:val="Compact"/>
              <w:jc w:val="left"/>
            </w:pPr>
            <w:r>
              <w:t xml:space="preserve">Over 5-year lifespan in Europe.</w:t>
            </w:r>
          </w:p>
        </w:tc>
      </w:tr>
      <w:tr>
        <w:tc>
          <w:tcPr/>
          <w:p>
            <w:pPr>
              <w:pStyle w:val="Compact"/>
            </w:pPr>
          </w:p>
        </w:tc>
        <w:tc>
          <w:tcPr/>
          <w:p>
            <w:pPr>
              <w:pStyle w:val="Compact"/>
              <w:jc w:val="left"/>
            </w:pPr>
            <w:r>
              <w:t xml:space="preserve">Downstream - End-of-Life (Landfill)</w:t>
            </w:r>
          </w:p>
        </w:tc>
        <w:tc>
          <w:tcPr/>
          <w:p>
            <w:pPr>
              <w:pStyle w:val="Compact"/>
              <w:jc w:val="left"/>
            </w:pPr>
            <w:r>
              <w:t xml:space="preserve">0.0285</w:t>
            </w:r>
          </w:p>
        </w:tc>
        <w:tc>
          <w:tcPr/>
          <w:p>
            <w:pPr>
              <w:pStyle w:val="Compact"/>
              <w:jc w:val="left"/>
            </w:pPr>
            <w:r>
              <w:t xml:space="preserve">For 20% of product mass disposed in landfill.</w:t>
            </w:r>
          </w:p>
        </w:tc>
      </w:tr>
      <w:tr>
        <w:tc>
          <w:tcPr>
            <w:gridSpan w:val="2"/>
          </w:tcPr>
          <w:p>
            <w:pPr>
              <w:pStyle w:val="Compact"/>
              <w:jc w:val="right"/>
            </w:pPr>
            <w:r>
              <w:t xml:space="preserve">Total Product Carbon Footprint (Cradle-to-Grave):</w:t>
            </w:r>
          </w:p>
        </w:tc>
        <w:tc>
          <w:tcPr>
            <w:gridSpan w:val="2"/>
          </w:tcPr>
          <w:p>
            <w:pPr>
              <w:pStyle w:val="Compact"/>
              <w:jc w:val="left"/>
            </w:pPr>
            <w:r>
              <w:rPr>
                <w:bCs/>
                <w:b/>
              </w:rPr>
              <w:t xml:space="preserve">35.13 kgCO2e/unit</w:t>
            </w:r>
          </w:p>
        </w:tc>
      </w:tr>
    </w:tbl>
    <w:p>
      <w:r>
        <w:pict>
          <v:rect style="width:0;height:1.5pt" o:hralign="center" o:hrstd="t" o:hr="t"/>
        </w:pict>
      </w:r>
    </w:p>
    <w:bookmarkEnd w:id="42"/>
    <w:bookmarkEnd w:id="43"/>
    <w:bookmarkStart w:id="47" w:name="review-report"/>
    <w:p>
      <w:pPr>
        <w:pStyle w:val="Heading2"/>
      </w:pPr>
      <w:r>
        <w:t xml:space="preserve">4. Review &amp; Report</w:t>
      </w:r>
    </w:p>
    <w:bookmarkStart w:id="44" w:name="hotspot-identification"/>
    <w:p>
      <w:pPr>
        <w:pStyle w:val="Heading3"/>
      </w:pPr>
      <w:r>
        <w:t xml:space="preserve">4.1. Hotspot Identification</w:t>
      </w:r>
    </w:p>
    <w:p>
      <w:pPr>
        <w:pStyle w:val="FirstParagraph"/>
      </w:pPr>
      <w:r>
        <w:t xml:space="preserve">The analysis reveals the following major emission hotspots for "viotgfqlor":</w:t>
      </w:r>
    </w:p>
    <w:p>
      <w:pPr>
        <w:numPr>
          <w:ilvl w:val="0"/>
          <w:numId w:val="1013"/>
        </w:numPr>
        <w:pStyle w:val="Compact"/>
      </w:pPr>
      <w:r>
        <w:rPr>
          <w:bCs/>
          <w:b/>
        </w:rPr>
        <w:t xml:space="preserve">Use Phase (25.00 kgCO2e):</w:t>
      </w:r>
      <w:r>
        <w:t xml:space="preserve"> </w:t>
      </w:r>
      <w:r>
        <w:t xml:space="preserve">This is by far the largest contributor, accounting for approximately 71% of the total PCF. This highlights the significant impact of the product\'s energy consumption during its 5-year lifespan, even with a moderate European grid emission factor. This impact is primarily classified under Scope 3, Category 11: Use of Sold Products.</w:t>
      </w:r>
    </w:p>
    <w:p>
      <w:pPr>
        <w:numPr>
          <w:ilvl w:val="0"/>
          <w:numId w:val="1013"/>
        </w:numPr>
        <w:pStyle w:val="Compact"/>
      </w:pPr>
      <w:r>
        <w:rPr>
          <w:bCs/>
          <w:b/>
        </w:rPr>
        <w:t xml:space="preserve">Purchased Goods and Services (Materials) (8.75 kgCO2e):</w:t>
      </w:r>
      <w:r>
        <w:t xml:space="preserve"> </w:t>
      </w:r>
      <w:r>
        <w:t xml:space="preserve">Materials account for approximately 25% of the total PCF. This signifies the importance of raw material selection and manufacturing processes, falling under Scope 3, Category 1: Purchased Goods and Services. The specific high impact of aluminum (5.0 kgCO2e) suggests it as a key area for material efficiency or substitution.</w:t>
      </w:r>
    </w:p>
    <w:p>
      <w:pPr>
        <w:numPr>
          <w:ilvl w:val="0"/>
          <w:numId w:val="1013"/>
        </w:numPr>
        <w:pStyle w:val="Compact"/>
      </w:pPr>
      <w:r>
        <w:rPr>
          <w:bCs/>
          <w:b/>
        </w:rPr>
        <w:t xml:space="preserve">Manufacturing (Purchased Electricity) (1.20 kgCO2e):</w:t>
      </w:r>
      <w:r>
        <w:t xml:space="preserve"> </w:t>
      </w:r>
      <w:r>
        <w:t xml:space="preserve">While less than the use phase and materials, the electricity consumed during manufacturing is a notable contributor (approx. 3.4%), falling under Scope 2 emissions.</w:t>
      </w:r>
    </w:p>
    <w:p>
      <w:pPr>
        <w:pStyle w:val="FirstParagraph"/>
      </w:pPr>
      <w:r>
        <w:t xml:space="preserve">Combined, Scope 3 emissions (materials, transport, use phase, EoL) constitute approximately 96.6% of the total PCF, meeting the 2026 requirement of at least 95% Scope 3 coverage.</w:t>
      </w:r>
    </w:p>
    <w:bookmarkEnd w:id="44"/>
    <w:bookmarkStart w:id="45" w:name="reliability-assessment"/>
    <w:p>
      <w:pPr>
        <w:pStyle w:val="Heading3"/>
      </w:pPr>
      <w:r>
        <w:t xml:space="preserve">4.2. Reliability Assessment</w:t>
      </w:r>
    </w:p>
    <w:p>
      <w:pPr>
        <w:pStyle w:val="FirstParagraph"/>
      </w:pPr>
      <w:r>
        <w:t xml:space="preserve">The reliability of this PCF analysis is considered high due to the use of specific primary data for the Bill of Materials and customized energy parameters. Industry-standard emission factors from reputable sources (e.g., IEA, MEE, Climatiq) have been applied for background data (electricity grids, transportation, EoL).</w:t>
      </w:r>
    </w:p>
    <w:p>
      <w:pPr>
        <w:pStyle w:val="BodyText"/>
      </w:pPr>
      <w:r>
        <w:t xml:space="preserve">Key assumptions, such as transport distances and modes, are based on generalized but plausible scenarios. Future iterations could benefit from more specific, supplier-provided data for actual transport routes, vehicle types, and real-time energy mixes, especially for the use phase where user behavior might vary.</w:t>
      </w:r>
    </w:p>
    <w:p>
      <w:pPr>
        <w:pStyle w:val="BodyText"/>
      </w:pPr>
      <w:r>
        <w:t xml:space="preserve">The application of the GHG Protocol ensures a standardized and transparent reporting framework. The integration of the 2026 LSR Update principles, especially for future considerations of circular economy benefits, enhances the comprehensiveness of the report by acknowledging removals and land-based impacts.</w:t>
      </w:r>
    </w:p>
    <w:bookmarkEnd w:id="45"/>
    <w:bookmarkStart w:id="46" w:name="recommendations-for-emission-reduction"/>
    <w:p>
      <w:pPr>
        <w:pStyle w:val="Heading3"/>
      </w:pPr>
      <w:r>
        <w:t xml:space="preserve">4.3. Recommendations for Emission Reduction</w:t>
      </w:r>
    </w:p>
    <w:p>
      <w:pPr>
        <w:pStyle w:val="FirstParagraph"/>
      </w:pPr>
      <w:r>
        <w:t xml:space="preserve">Based on the identified hotspots, mltzvsgdkx should prioritize the following actions to reduce the PCF of viotgfqlor:</w:t>
      </w:r>
    </w:p>
    <w:p>
      <w:pPr>
        <w:numPr>
          <w:ilvl w:val="0"/>
          <w:numId w:val="1014"/>
        </w:numPr>
        <w:pStyle w:val="Compact"/>
      </w:pPr>
      <w:r>
        <w:rPr>
          <w:bCs/>
          <w:b/>
        </w:rPr>
        <w:t xml:space="preserve">Use Phase Optimization:</w:t>
      </w:r>
    </w:p>
    <w:p>
      <w:pPr>
        <w:numPr>
          <w:ilvl w:val="1"/>
          <w:numId w:val="1015"/>
        </w:numPr>
        <w:pStyle w:val="Compact"/>
      </w:pPr>
      <w:r>
        <w:t xml:space="preserve">Invest in product design for energy efficiency to reduce electricity consumption during the 5-year lifespan.</w:t>
      </w:r>
    </w:p>
    <w:p>
      <w:pPr>
        <w:numPr>
          <w:ilvl w:val="1"/>
          <w:numId w:val="1015"/>
        </w:numPr>
        <w:pStyle w:val="Compact"/>
      </w:pPr>
      <w:r>
        <w:t xml:space="preserve">Explore options for enabling users to power the device with renewable energy (e.g., compatible solar charging accessories).</w:t>
      </w:r>
    </w:p>
    <w:p>
      <w:pPr>
        <w:numPr>
          <w:ilvl w:val="1"/>
          <w:numId w:val="1015"/>
        </w:numPr>
        <w:pStyle w:val="Compact"/>
      </w:pPr>
      <w:r>
        <w:t xml:space="preserve">Communicate use-phase energy consumption clearly to consumers to encourage responsible usage.</w:t>
      </w:r>
    </w:p>
    <w:p>
      <w:pPr>
        <w:numPr>
          <w:ilvl w:val="0"/>
          <w:numId w:val="1014"/>
        </w:numPr>
        <w:pStyle w:val="Compact"/>
      </w:pPr>
      <w:r>
        <w:rPr>
          <w:bCs/>
          <w:b/>
        </w:rPr>
        <w:t xml:space="preserve">Material Decarbonization:</w:t>
      </w:r>
    </w:p>
    <w:p>
      <w:pPr>
        <w:numPr>
          <w:ilvl w:val="1"/>
          <w:numId w:val="1016"/>
        </w:numPr>
        <w:pStyle w:val="Compact"/>
      </w:pPr>
      <w:r>
        <w:t xml:space="preserve">Investigate alternative materials with lower embodied carbon, particularly for high-impact components like aluminum.</w:t>
      </w:r>
    </w:p>
    <w:p>
      <w:pPr>
        <w:numPr>
          <w:ilvl w:val="1"/>
          <w:numId w:val="1016"/>
        </w:numPr>
        <w:pStyle w:val="Compact"/>
      </w:pPr>
      <w:r>
        <w:t xml:space="preserve">Engage with suppliers to encourage the use of recycled content and renewable energy in their manufacturing processes.</w:t>
      </w:r>
    </w:p>
    <w:p>
      <w:pPr>
        <w:numPr>
          <w:ilvl w:val="1"/>
          <w:numId w:val="1016"/>
        </w:numPr>
        <w:pStyle w:val="Compact"/>
      </w:pPr>
      <w:r>
        <w:t xml:space="preserve">Optimize material usage to reduce the quantity of high-impact materials required per unit.</w:t>
      </w:r>
    </w:p>
    <w:p>
      <w:pPr>
        <w:numPr>
          <w:ilvl w:val="0"/>
          <w:numId w:val="1014"/>
        </w:numPr>
        <w:pStyle w:val="Compact"/>
      </w:pPr>
      <w:r>
        <w:rPr>
          <w:bCs/>
          <w:b/>
        </w:rPr>
        <w:t xml:space="preserve">Manufacturing Energy Transition:</w:t>
      </w:r>
    </w:p>
    <w:p>
      <w:pPr>
        <w:numPr>
          <w:ilvl w:val="1"/>
          <w:numId w:val="1017"/>
        </w:numPr>
        <w:pStyle w:val="Compact"/>
      </w:pPr>
      <w:r>
        <w:t xml:space="preserve">Increase the share of renewable energy procurement for the manufacturing facilities in China beyond the current 60%. This could involve purchasing more renewable energy credits or investing in on-site renewable generation.</w:t>
      </w:r>
    </w:p>
    <w:p>
      <w:pPr>
        <w:numPr>
          <w:ilvl w:val="1"/>
          <w:numId w:val="1017"/>
        </w:numPr>
        <w:pStyle w:val="Compact"/>
      </w:pPr>
      <w:r>
        <w:t xml:space="preserve">Implement energy efficiency measures within the manufacturing process to reduce overall energy intensity.</w:t>
      </w:r>
    </w:p>
    <w:p>
      <w:pPr>
        <w:numPr>
          <w:ilvl w:val="0"/>
          <w:numId w:val="1014"/>
        </w:numPr>
        <w:pStyle w:val="Compact"/>
      </w:pPr>
      <w:r>
        <w:rPr>
          <w:bCs/>
          <w:b/>
        </w:rPr>
        <w:t xml:space="preserve">Circular Economy Integration:</w:t>
      </w:r>
    </w:p>
    <w:p>
      <w:pPr>
        <w:numPr>
          <w:ilvl w:val="1"/>
          <w:numId w:val="1018"/>
        </w:numPr>
        <w:pStyle w:val="Compact"/>
      </w:pPr>
      <w:r>
        <w:t xml:space="preserve">Further enhance the existing take-back program to maximize collection rates and material recovery.</w:t>
      </w:r>
    </w:p>
    <w:p>
      <w:pPr>
        <w:numPr>
          <w:ilvl w:val="1"/>
          <w:numId w:val="1018"/>
        </w:numPr>
        <w:pStyle w:val="Compact"/>
      </w:pPr>
      <w:r>
        <w:t xml:space="preserve">Design for disassembly and repairability to extend product lifespan and facilitate high-quality recycling.</w:t>
      </w:r>
    </w:p>
    <w:p>
      <w:pPr>
        <w:numPr>
          <w:ilvl w:val="1"/>
          <w:numId w:val="1018"/>
        </w:numPr>
        <w:pStyle w:val="Compact"/>
      </w:pPr>
      <w:r>
        <w:t xml:space="preserve">Explore closed-loop material cycles with suppliers and recyclers to reduce reliance on virgin materials.</w:t>
      </w:r>
    </w:p>
    <w:p>
      <w:pPr>
        <w:numPr>
          <w:ilvl w:val="0"/>
          <w:numId w:val="1014"/>
        </w:numPr>
        <w:pStyle w:val="Compact"/>
      </w:pPr>
      <w:r>
        <w:rPr>
          <w:bCs/>
          <w:b/>
        </w:rPr>
        <w:t xml:space="preserve">Supply Chain Engagement:</w:t>
      </w:r>
    </w:p>
    <w:p>
      <w:pPr>
        <w:numPr>
          <w:ilvl w:val="1"/>
          <w:numId w:val="1019"/>
        </w:numPr>
        <w:pStyle w:val="Compact"/>
      </w:pPr>
      <w:r>
        <w:t xml:space="preserve">Collaborate with upstream transport providers to optimize routes, utilize more efficient transport modes, or switch to lower-carbon fuels.</w:t>
      </w:r>
    </w:p>
    <w:p>
      <w:pPr>
        <w:numPr>
          <w:ilvl w:val="1"/>
          <w:numId w:val="1019"/>
        </w:numPr>
        <w:pStyle w:val="Compact"/>
      </w:pPr>
      <w:r>
        <w:t xml:space="preserve">Work with last-mile delivery partners to explore electric vehicle fleets or other low-carbon delivery solutions.</w:t>
      </w:r>
    </w:p>
    <w:p>
      <w:r>
        <w:pict>
          <v:rect style="width:0;height:1.5pt" o:hralign="center" o:hrstd="t" o:hr="t"/>
        </w:pict>
      </w:r>
    </w:p>
    <w:p>
      <w:pPr>
        <w:pStyle w:val="FirstParagraph"/>
      </w:pPr>
      <w:r>
        <w:t xml:space="preserve">Confidential - Internal Use Only | Page</w:t>
      </w:r>
      <w:r>
        <w:t xml:space="preserve"> </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viotgfqlor</dc:title>
  <dc:creator/>
  <dc:description>Detailed Product Carbon Footprint (PCF) analysis report for viotgfqlor, performed by juwgpoiwht, Senior Sustainability Consultant for mltzvsgdkx, adhering to GHG Protocol and 2026 LSR Standard.</dc:description>
  <dc:language>en</dc:language>
  <cp:keywords/>
  <dcterms:created xsi:type="dcterms:W3CDTF">2026-05-30T16:49:39Z</dcterms:created>
  <dcterms:modified xsi:type="dcterms:W3CDTF">2026-05-30T16:49:39Z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