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vhrqoeifhl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vhrqoeifhl</w:t>
      </w:r>
    </w:p>
    <w:p>
      <w:pPr>
        <w:pStyle w:val="BodyText"/>
      </w:pPr>
      <w:r>
        <w:rPr>
          <w:bCs/>
          <w:b/>
        </w:rPr>
        <w:t xml:space="preserve">Company Name:</w:t>
      </w:r>
      <w:r>
        <w:t xml:space="preserve"> </w:t>
      </w:r>
      <w:r>
        <w:t xml:space="preserve">uxxqmmfyos</w:t>
      </w:r>
    </w:p>
    <w:p>
      <w:pPr>
        <w:pStyle w:val="BodyText"/>
      </w:pPr>
      <w:r>
        <w:rPr>
          <w:bCs/>
          <w:b/>
        </w:rPr>
        <w:t xml:space="preserve">Senior Sustainability Consultant:</w:t>
      </w:r>
      <w:r>
        <w:t xml:space="preserve"> </w:t>
      </w:r>
      <w:r>
        <w:t xml:space="preserve">kfdinjwvvm</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impacts may vary based on specific operational details, supply chain complexities, and evolving methodologies. Placeholder values have been used for illustrative calculations where specific data for parameters was not provided in a calculable format.</w:t>
      </w:r>
    </w:p>
    <w:bookmarkEnd w:id="20"/>
    <w:p>
      <w:pPr>
        <w:pStyle w:val="BodyText"/>
      </w:pPr>
      <w:r>
        <w:t xml:space="preserve">Generated Date: May 22, 2026</w:t>
      </w:r>
    </w:p>
    <w:bookmarkStart w:id="39"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vhrqoeifhl</w:t>
      </w:r>
      <w:r>
        <w:t xml:space="preserve">, performed by</w:t>
      </w:r>
      <w:r>
        <w:t xml:space="preserve"> </w:t>
      </w:r>
      <w:r>
        <w:rPr>
          <w:bCs/>
          <w:b/>
        </w:rPr>
        <w:t xml:space="preserve">kfdinjwvvm</w:t>
      </w:r>
      <w:r>
        <w:t xml:space="preserve">, Senior Sustainability Consultant at</w:t>
      </w:r>
      <w:r>
        <w:t xml:space="preserve"> </w:t>
      </w:r>
      <w:r>
        <w:rPr>
          <w:bCs/>
          <w:b/>
        </w:rPr>
        <w:t xml:space="preserve">uxxqmmfyos</w:t>
      </w:r>
      <w:r>
        <w:t xml:space="preserve">. The analysis strictly adheres to the Greenhouse Gas (GHG) Protocol, including the 2026 Land Sector and Removals (LSR) Standard update, ensuring comprehensive coverage of emissions across the product\'s lifecycle. The assessment aims to identify key emission hotspots, provide a baseline for future reduction efforts, and highlight circular economy impacts for the product.</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the PCF analysis establishes the boundaries and parameters for emissions accounting.</w:t>
      </w:r>
    </w:p>
    <w:p>
      <w:pPr>
        <w:numPr>
          <w:ilvl w:val="0"/>
          <w:numId w:val="1001"/>
        </w:numPr>
        <w:pStyle w:val="Compact"/>
      </w:pPr>
      <w:r>
        <w:rPr>
          <w:bCs/>
          <w:b/>
        </w:rPr>
        <w:t xml:space="preserve">Functional Unit:</w:t>
      </w:r>
      <w:r>
        <w:t xml:space="preserve"> </w:t>
      </w:r>
      <w:r>
        <w:t xml:space="preserve">1.0 unit of vhrqoeifhl.</w:t>
      </w:r>
    </w:p>
    <w:p>
      <w:pPr>
        <w:numPr>
          <w:ilvl w:val="0"/>
          <w:numId w:val="1001"/>
        </w:numPr>
        <w:pStyle w:val="Compact"/>
      </w:pPr>
      <w:r>
        <w:rPr>
          <w:bCs/>
          <w:b/>
        </w:rPr>
        <w:t xml:space="preserve">System Boundary:</w:t>
      </w:r>
      <w:r>
        <w:t xml:space="preserve"> </w:t>
      </w:r>
      <w:r>
        <w:t xml:space="preserve">"factory_gate" for the primary production, extending to cover key Scope 3 upstream and downstream activities as per the GHG Protocol requirements.</w:t>
      </w:r>
    </w:p>
    <w:p>
      <w:pPr>
        <w:numPr>
          <w:ilvl w:val="0"/>
          <w:numId w:val="1001"/>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1"/>
        </w:numPr>
        <w:pStyle w:val="Compact"/>
      </w:pPr>
      <w:r>
        <w:rPr>
          <w:bCs/>
          <w:b/>
        </w:rPr>
        <w:t xml:space="preserve">Accounting Standard:</w:t>
      </w:r>
      <w:r>
        <w:t xml:space="preserve"> </w:t>
      </w:r>
      <w:r>
        <w:t xml:space="preserve">GHG Protocol. This report strictly follows the GHG Protocol\'s Corporate Standard and Scope 3 Standard, integrating the latest 2026 LSR Standard for relevant land-based emissions and removals.</w:t>
      </w:r>
    </w:p>
    <w:p>
      <w:pPr>
        <w:numPr>
          <w:ilvl w:val="0"/>
          <w:numId w:val="1001"/>
        </w:numPr>
        <w:pStyle w:val="Compact"/>
      </w:pPr>
      <w:r>
        <w:rPr>
          <w:bCs/>
          <w:b/>
        </w:rPr>
        <w:t xml:space="preserve">Allocation:</w:t>
      </w:r>
      <w:r>
        <w:t xml:space="preserve"> </w:t>
      </w:r>
      <w:r>
        <w:t xml:space="preserve">All emissions are allocated entirely to the functional unit, assuming no co-products for vhrqoeifhl.</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primary and secondary data points collected and the lifecycle stages mapped for the PCF of vhrqoeifhl. Where specific quantifiable data for parameters (e.g., zkgzxekp, ivsmygftii) was provided as a placeholder string, illustrative values based on industry averages and the described format have been used for calculation purposes, and this is explicitly stated.</w:t>
      </w:r>
    </w:p>
    <w:bookmarkStart w:id="22" w:name="material-inputs-scope-3---upstream"/>
    <w:p>
      <w:pPr>
        <w:pStyle w:val="Heading3"/>
      </w:pPr>
      <w:r>
        <w:t xml:space="preserve">Material Inputs (Scope 3 - Upstream)</w:t>
      </w:r>
    </w:p>
    <w:p>
      <w:pPr>
        <w:pStyle w:val="FirstParagraph"/>
      </w:pPr>
      <w:r>
        <w:t xml:space="preserve">The detailed Bill of Materials (BOM), referred to as "zkgzxekp," is critical for calculating material-related emissions. For the purpose of this report, as "zkgzxekp" was provided as a string placeholder, we have utilized an illustrative BOM that follows the specified format (ID, Description, Category, Process, Qty, Unit, Emission Factor, Total Carbon). The \'Total Carbon\' for each item is directly used in calculations, reflecting pre-calculated material impact.</w:t>
      </w:r>
    </w:p>
    <w:p>
      <w:pPr>
        <w:pStyle w:val="BodyText"/>
      </w:pPr>
      <w:r>
        <w:rPr>
          <w:bCs/>
          <w:b/>
        </w:rPr>
        <w:t xml:space="preserve">Illustrative Detailed Bill of Materials (BOM) for vhrqoeifhl: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Product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3.5 kg CO2e/unit</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2.8 kg CO2e/unit</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kg CO2e/kg</w:t>
            </w:r>
          </w:p>
        </w:tc>
        <w:tc>
          <w:tcPr/>
          <w:p>
            <w:pPr>
              <w:pStyle w:val="Compact"/>
              <w:jc w:val="left"/>
            </w:pPr>
            <w:r>
              <w:t xml:space="preserve">0.24</w:t>
            </w:r>
          </w:p>
        </w:tc>
      </w:tr>
      <w:tr>
        <w:tc>
          <w:tcPr>
            <w:gridSpan w:val="7"/>
          </w:tcPr>
          <w:p>
            <w:pPr>
              <w:pStyle w:val="Compact"/>
              <w:jc w:val="right"/>
            </w:pPr>
            <w:r>
              <w:rPr>
                <w:bCs/>
                <w:b/>
              </w:rPr>
              <w:t xml:space="preserve">Total Material Carbon Impact:</w:t>
            </w:r>
          </w:p>
        </w:tc>
        <w:tc>
          <w:tcPr/>
          <w:p>
            <w:pPr>
              <w:pStyle w:val="Compact"/>
              <w:jc w:val="left"/>
            </w:pPr>
            <w:r>
              <w:rPr>
                <w:bCs/>
                <w:b/>
              </w:rPr>
              <w:t xml:space="preserve">7.29</w:t>
            </w:r>
          </w:p>
        </w:tc>
      </w:tr>
    </w:tbl>
    <w:bookmarkEnd w:id="22"/>
    <w:bookmarkStart w:id="23" w:name="energy-inputs-scope-2---production"/>
    <w:p>
      <w:pPr>
        <w:pStyle w:val="Heading3"/>
      </w:pPr>
      <w:r>
        <w:t xml:space="preserve">Energy Inputs (Scope 2 - Production)</w:t>
      </w:r>
    </w:p>
    <w:p>
      <w:pPr>
        <w:numPr>
          <w:ilvl w:val="0"/>
          <w:numId w:val="1002"/>
        </w:numPr>
        <w:pStyle w:val="Compact"/>
      </w:pPr>
      <w:r>
        <w:rPr>
          <w:bCs/>
          <w:b/>
        </w:rPr>
        <w:t xml:space="preserve">Energy Intensity (kWh/unit):</w:t>
      </w:r>
      <w:r>
        <w:t xml:space="preserve"> </w:t>
      </w:r>
      <w:r>
        <w:t xml:space="preserve">rgdllftjkg (Illustrative: 8 kWh/unit).</w:t>
      </w:r>
    </w:p>
    <w:p>
      <w:pPr>
        <w:numPr>
          <w:ilvl w:val="0"/>
          <w:numId w:val="1002"/>
        </w:numPr>
        <w:pStyle w:val="Compact"/>
      </w:pPr>
      <w:r>
        <w:rPr>
          <w:bCs/>
          <w:b/>
        </w:rPr>
        <w:t xml:space="preserve">Renewable Energy Usage:</w:t>
      </w:r>
      <w:r>
        <w:t xml:space="preserve"> </w:t>
      </w:r>
      <w:r>
        <w:t xml:space="preserve">twxpovlsfj (Illustrative: 40%). This percentage represents the share of renewable energy purchased or generated on-site for the production of vhrqoeifhl.</w:t>
      </w:r>
    </w:p>
    <w:p>
      <w:pPr>
        <w:numPr>
          <w:ilvl w:val="0"/>
          <w:numId w:val="1002"/>
        </w:numPr>
        <w:pStyle w:val="Compact"/>
      </w:pPr>
      <w:r>
        <w:rPr>
          <w:bCs/>
          <w:b/>
        </w:rPr>
        <w:t xml:space="preserve">Grid Electricity Emission Factor (China):</w:t>
      </w:r>
      <w:r>
        <w:t xml:space="preserve"> </w:t>
      </w:r>
      <w:r>
        <w:t xml:space="preserve">0.6205 kg CO2e/kWh (2023 national average electricity carbon footprint factor, including life cycle emissions).</w:t>
      </w:r>
    </w:p>
    <w:bookmarkEnd w:id="23"/>
    <w:bookmarkStart w:id="24" w:name="Xb8472b3bef684aafffdbbbac318135aadffbe72"/>
    <w:p>
      <w:pPr>
        <w:pStyle w:val="Heading3"/>
      </w:pPr>
      <w:r>
        <w:t xml:space="preserve">Logistics Data (Scope 3 - Upstream &amp; Downstream Transport)</w:t>
      </w:r>
    </w:p>
    <w:p>
      <w:pPr>
        <w:pStyle w:val="FirstParagraph"/>
      </w:pPr>
      <w:r>
        <w:t xml:space="preserve">For transport calculations, we assume a product weight of 1 kg for vhrqoeifhl.</w:t>
      </w:r>
    </w:p>
    <w:p>
      <w:pPr>
        <w:numPr>
          <w:ilvl w:val="0"/>
          <w:numId w:val="1003"/>
        </w:numPr>
        <w:pStyle w:val="Compact"/>
      </w:pPr>
      <w:r>
        <w:rPr>
          <w:bCs/>
          <w:b/>
        </w:rPr>
        <w:t xml:space="preserve">Primary Transport Mode (Europe Focused Supply Chain to China):</w:t>
      </w:r>
      <w:r>
        <w:t xml:space="preserve"> </w:t>
      </w:r>
      <w:r>
        <w:t xml:space="preserve">Select Mode (Illustrative: Road freight, Heavy Goods Vehicle &gt;16t).</w:t>
      </w:r>
    </w:p>
    <w:p>
      <w:pPr>
        <w:numPr>
          <w:ilvl w:val="0"/>
          <w:numId w:val="1003"/>
        </w:numPr>
        <w:pStyle w:val="Compact"/>
      </w:pPr>
      <w:r>
        <w:rPr>
          <w:bCs/>
          <w:b/>
        </w:rPr>
        <w:t xml:space="preserve">Transport Distance (ivsmygftii):</w:t>
      </w:r>
      <w:r>
        <w:t xml:space="preserve"> </w:t>
      </w:r>
      <w:r>
        <w:t xml:space="preserve">Illustrative: 1,500 km.</w:t>
      </w:r>
    </w:p>
    <w:p>
      <w:pPr>
        <w:numPr>
          <w:ilvl w:val="0"/>
          <w:numId w:val="1003"/>
        </w:numPr>
        <w:pStyle w:val="Compact"/>
      </w:pPr>
      <w:r>
        <w:rPr>
          <w:bCs/>
          <w:b/>
        </w:rPr>
        <w:t xml:space="preserve">Heavy Goods Vehicle (HGV) Emission Factor:</w:t>
      </w:r>
      <w:r>
        <w:t xml:space="preserve"> </w:t>
      </w:r>
      <w:r>
        <w:t xml:space="preserve">0.0565 kg CO2/tkm (average for 4x2 tractors, GCW &gt;16t, European market).</w:t>
      </w:r>
    </w:p>
    <w:p>
      <w:pPr>
        <w:numPr>
          <w:ilvl w:val="0"/>
          <w:numId w:val="1003"/>
        </w:numPr>
        <w:pStyle w:val="Compact"/>
      </w:pPr>
      <w:r>
        <w:rPr>
          <w:bCs/>
          <w:b/>
        </w:rPr>
        <w:t xml:space="preserve">Last-Mile Delivery Channel:</w:t>
      </w:r>
      <w:r>
        <w:t xml:space="preserve"> </w:t>
      </w:r>
      <w:r>
        <w:t xml:space="preserve">Delivery Type (Illustrative: Light Commercial Vehicle (LCV)).</w:t>
      </w:r>
    </w:p>
    <w:p>
      <w:pPr>
        <w:numPr>
          <w:ilvl w:val="0"/>
          <w:numId w:val="1003"/>
        </w:numPr>
        <w:pStyle w:val="Compact"/>
      </w:pPr>
      <w:r>
        <w:rPr>
          <w:bCs/>
          <w:b/>
        </w:rPr>
        <w:t xml:space="preserve">Last-Mile Delivery Distance (Illustrative):</w:t>
      </w:r>
      <w:r>
        <w:t xml:space="preserve"> </w:t>
      </w:r>
      <w:r>
        <w:t xml:space="preserve">50 km.</w:t>
      </w:r>
    </w:p>
    <w:p>
      <w:pPr>
        <w:numPr>
          <w:ilvl w:val="0"/>
          <w:numId w:val="1003"/>
        </w:numPr>
        <w:pStyle w:val="Compact"/>
      </w:pPr>
      <w:r>
        <w:rPr>
          <w:bCs/>
          <w:b/>
        </w:rPr>
        <w:t xml:space="preserve">Light Commercial Vehicle (LCV) Emission Factor:</w:t>
      </w:r>
      <w:r>
        <w:t xml:space="preserve"> </w:t>
      </w:r>
      <w:r>
        <w:t xml:space="preserve">0.15 kg CO2/km (up to 3.5t payload).</w:t>
      </w:r>
    </w:p>
    <w:bookmarkEnd w:id="24"/>
    <w:bookmarkStart w:id="25" w:name="use-phase-data-scope-3---downstream"/>
    <w:p>
      <w:pPr>
        <w:pStyle w:val="Heading3"/>
      </w:pPr>
      <w:r>
        <w:t xml:space="preserve">Use Phase Data (Scope 3 - Downstream)</w:t>
      </w:r>
    </w:p>
    <w:p>
      <w:pPr>
        <w:numPr>
          <w:ilvl w:val="0"/>
          <w:numId w:val="1004"/>
        </w:numPr>
        <w:pStyle w:val="Compact"/>
      </w:pPr>
      <w:r>
        <w:rPr>
          <w:bCs/>
          <w:b/>
        </w:rPr>
        <w:t xml:space="preserve">Product Lifespan (lhjfypepov):</w:t>
      </w:r>
      <w:r>
        <w:t xml:space="preserve"> </w:t>
      </w:r>
      <w:r>
        <w:t xml:space="preserve">Illustrative: 3 years.</w:t>
      </w:r>
    </w:p>
    <w:p>
      <w:pPr>
        <w:numPr>
          <w:ilvl w:val="0"/>
          <w:numId w:val="1004"/>
        </w:numPr>
        <w:pStyle w:val="Compact"/>
      </w:pPr>
      <w:r>
        <w:rPr>
          <w:bCs/>
          <w:b/>
        </w:rPr>
        <w:t xml:space="preserve">Energy Consumption in Use (uhxtnsespn):</w:t>
      </w:r>
      <w:r>
        <w:t xml:space="preserve"> </w:t>
      </w:r>
      <w:r>
        <w:t xml:space="preserve">Illustrative: 0.05 kWh/day (50 Wh/day).</w:t>
      </w:r>
    </w:p>
    <w:p>
      <w:pPr>
        <w:numPr>
          <w:ilvl w:val="0"/>
          <w:numId w:val="1004"/>
        </w:numPr>
        <w:pStyle w:val="Compact"/>
      </w:pPr>
      <w:r>
        <w:rPr>
          <w:bCs/>
          <w:b/>
        </w:rPr>
        <w:t xml:space="preserve">Electricity Emission Factor (China):</w:t>
      </w:r>
      <w:r>
        <w:t xml:space="preserve"> </w:t>
      </w:r>
      <w:r>
        <w:t xml:space="preserve">0.6205 kg CO2e/kWh (assuming product use in China).</w:t>
      </w:r>
    </w:p>
    <w:bookmarkEnd w:id="25"/>
    <w:bookmarkStart w:id="26" w:name="X1d6fb48e33f8142e05cc7719297f759d585345f"/>
    <w:p>
      <w:pPr>
        <w:pStyle w:val="Heading3"/>
      </w:pPr>
      <w:r>
        <w:t xml:space="preserve">End-of-Life (EoL) Data (Scope 3 - Downstream)</w:t>
      </w:r>
    </w:p>
    <w:p>
      <w:pPr>
        <w:numPr>
          <w:ilvl w:val="0"/>
          <w:numId w:val="1005"/>
        </w:numPr>
        <w:pStyle w:val="Compact"/>
      </w:pPr>
      <w:r>
        <w:rPr>
          <w:bCs/>
          <w:b/>
        </w:rPr>
        <w:t xml:space="preserve">Recyclability Percentage (pgxqxkjtdm):</w:t>
      </w:r>
      <w:r>
        <w:t xml:space="preserve"> </w:t>
      </w:r>
      <w:r>
        <w:t xml:space="preserve">Illustrative: 60%.</w:t>
      </w:r>
    </w:p>
    <w:p>
      <w:pPr>
        <w:numPr>
          <w:ilvl w:val="0"/>
          <w:numId w:val="1005"/>
        </w:numPr>
        <w:pStyle w:val="Compact"/>
      </w:pPr>
      <w:r>
        <w:rPr>
          <w:bCs/>
          <w:b/>
        </w:rPr>
        <w:t xml:space="preserve">Circular/Take-back Programs (hxseyxifph):</w:t>
      </w:r>
      <w:r>
        <w:t xml:space="preserve"> </w:t>
      </w:r>
      <w:r>
        <w:t xml:space="preserve">Yes, through authorized collection points.</w:t>
      </w:r>
    </w:p>
    <w:p>
      <w:r>
        <w:pict>
          <v:rect style="width:0;height:1.5pt" o:hralign="center" o:hrstd="t" o:hr="t"/>
        </w:pict>
      </w:r>
    </w:p>
    <w:bookmarkEnd w:id="26"/>
    <w:bookmarkEnd w:id="27"/>
    <w:bookmarkStart w:id="35" w:name="calculate-emissions"/>
    <w:p>
      <w:pPr>
        <w:pStyle w:val="Heading2"/>
      </w:pPr>
      <w:r>
        <w:t xml:space="preserve">4. Calculate Emissions</w:t>
      </w:r>
    </w:p>
    <w:p>
      <w:pPr>
        <w:pStyle w:val="FirstParagraph"/>
      </w:pPr>
      <w:r>
        <w:t xml:space="preserve">Emissions are calculated based on activity data multiplied by appropriate emission factors, categorized according to the GHG Protocol\'s Scope 1, 2, and 3.</w:t>
      </w:r>
    </w:p>
    <w:bookmarkStart w:id="28" w:name="scope-1-direct-emissions"/>
    <w:p>
      <w:pPr>
        <w:pStyle w:val="Heading3"/>
      </w:pPr>
      <w:r>
        <w:t xml:space="preserve">Scope 1: Direct Emissions</w:t>
      </w:r>
    </w:p>
    <w:p>
      <w:pPr>
        <w:pStyle w:val="FirstParagraph"/>
      </w:pPr>
      <w:r>
        <w:t xml:space="preserve">No direct Scope 1 emissions (e.g., from on-site fuel combustion or process emissions not associated with electricity generation) were identified or provided within the "factory_gate" system boundary for the functional unit of vhrqoeifhl. Therefore, Scope 1 emissions are considered negligible for this product footprint.</w:t>
      </w:r>
    </w:p>
    <w:p>
      <w:pPr>
        <w:pStyle w:val="BodyText"/>
      </w:pPr>
      <w:r>
        <w:rPr>
          <w:bCs/>
          <w:b/>
        </w:rPr>
        <w:t xml:space="preserve">Total Scope 1 Emissions: 0.00 kg CO2e</w:t>
      </w:r>
    </w:p>
    <w:bookmarkEnd w:id="28"/>
    <w:bookmarkStart w:id="29" w:name="scope-2-purchased-energy-emissions"/>
    <w:p>
      <w:pPr>
        <w:pStyle w:val="Heading3"/>
      </w:pPr>
      <w:r>
        <w:t xml:space="preserve">Scope 2: Purchased Energy Emissions</w:t>
      </w:r>
    </w:p>
    <w:p>
      <w:pPr>
        <w:pStyle w:val="FirstParagraph"/>
      </w:pPr>
      <w:r>
        <w:t xml:space="preserve">These are indirect emissions from the generation of purchased electricity consumed by uxxqmmfyos\'s production facilities for vhrqoeifhl.</w:t>
      </w:r>
    </w:p>
    <w:p>
      <w:pPr>
        <w:numPr>
          <w:ilvl w:val="0"/>
          <w:numId w:val="1006"/>
        </w:numPr>
        <w:pStyle w:val="Compact"/>
      </w:pPr>
      <w:r>
        <w:t xml:space="preserve">Total Energy Intensity: 8 kWh/unit (rgdllftjkg).</w:t>
      </w:r>
    </w:p>
    <w:p>
      <w:pPr>
        <w:numPr>
          <w:ilvl w:val="0"/>
          <w:numId w:val="1006"/>
        </w:numPr>
        <w:pStyle w:val="Compact"/>
      </w:pPr>
      <w:r>
        <w:t xml:space="preserve">Renewable Energy Usage: 40% (twxpovlsfj).</w:t>
      </w:r>
    </w:p>
    <w:p>
      <w:pPr>
        <w:numPr>
          <w:ilvl w:val="0"/>
          <w:numId w:val="1006"/>
        </w:numPr>
        <w:pStyle w:val="Compact"/>
      </w:pPr>
      <w:r>
        <w:t xml:space="preserve">Non-Renewable Energy Consumption: 8 kWh/unit * (1 - 0.40) = 4.8 kWh/unit.</w:t>
      </w:r>
    </w:p>
    <w:p>
      <w:pPr>
        <w:numPr>
          <w:ilvl w:val="0"/>
          <w:numId w:val="1006"/>
        </w:numPr>
        <w:pStyle w:val="Compact"/>
      </w:pPr>
      <w:r>
        <w:t xml:space="preserve">Emission Factor (China Grid): 0.6205 kg CO2e/kWh.</w:t>
      </w:r>
    </w:p>
    <w:p>
      <w:pPr>
        <w:numPr>
          <w:ilvl w:val="0"/>
          <w:numId w:val="1006"/>
        </w:numPr>
        <w:pStyle w:val="Compact"/>
      </w:pPr>
      <w:r>
        <w:rPr>
          <w:bCs/>
          <w:b/>
        </w:rPr>
        <w:t xml:space="preserve">Scope 2 Emissions:</w:t>
      </w:r>
      <w:r>
        <w:t xml:space="preserve"> </w:t>
      </w:r>
      <w:r>
        <w:t xml:space="preserve">4.8 kWh/unit * 0.6205 kg CO2e/kWh =</w:t>
      </w:r>
      <w:r>
        <w:t xml:space="preserve"> </w:t>
      </w:r>
      <w:r>
        <w:rPr>
          <w:bCs/>
          <w:b/>
        </w:rPr>
        <w:t xml:space="preserve">2.98 kg CO2e</w:t>
      </w:r>
      <w:r>
        <w:t xml:space="preserve">.</w:t>
      </w:r>
    </w:p>
    <w:p>
      <w:pPr>
        <w:pStyle w:val="FirstParagraph"/>
      </w:pPr>
      <w:r>
        <w:rPr>
          <w:bCs/>
          <w:b/>
        </w:rPr>
        <w:t xml:space="preserve">Total Scope 2 Emissions: 2.98 kg CO2e</w:t>
      </w:r>
    </w:p>
    <w:bookmarkEnd w:id="29"/>
    <w:bookmarkStart w:id="32" w:name="scope-3-value-chain-emissions"/>
    <w:p>
      <w:pPr>
        <w:pStyle w:val="Heading3"/>
      </w:pPr>
      <w:r>
        <w:t xml:space="preserve">Scope 3: Value Chain Emissions</w:t>
      </w:r>
    </w:p>
    <w:p>
      <w:pPr>
        <w:pStyle w:val="FirstParagraph"/>
      </w:pPr>
      <w:r>
        <w:t xml:space="preserve">Scope 3 emissions encompass all other indirect emissions from the product\'s value chain, both upstream and downstream. This analysis aims for at least 95% coverage as per 2026 requirements.</w:t>
      </w:r>
    </w:p>
    <w:bookmarkStart w:id="30" w:name="scope-3-upstream-emissions"/>
    <w:p>
      <w:pPr>
        <w:pStyle w:val="Heading4"/>
      </w:pPr>
      <w:r>
        <w:t xml:space="preserve">Scope 3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Carbon from Illustrative BOM: 7.29 kg CO2e.</w:t>
      </w:r>
    </w:p>
    <w:p>
      <w:pPr>
        <w:numPr>
          <w:ilvl w:val="1"/>
          <w:numId w:val="1008"/>
        </w:numPr>
        <w:pStyle w:val="Compact"/>
      </w:pPr>
      <w:r>
        <w:t xml:space="preserve">These emissions are pre-calculated for each material in the BOM and represent the cradle-to-gate impact of raw material extraction and manufacturing processes.</w:t>
      </w:r>
    </w:p>
    <w:p>
      <w:pPr>
        <w:numPr>
          <w:ilvl w:val="0"/>
          <w:numId w:val="1007"/>
        </w:numPr>
        <w:pStyle w:val="Compact"/>
      </w:pPr>
      <w:r>
        <w:rPr>
          <w:bCs/>
          <w:b/>
        </w:rPr>
        <w:t xml:space="preserve">Category 4: Upstream Transportation and Distribution (Primary Transport)</w:t>
      </w:r>
    </w:p>
    <w:p>
      <w:pPr>
        <w:numPr>
          <w:ilvl w:val="1"/>
          <w:numId w:val="1009"/>
        </w:numPr>
        <w:pStyle w:val="Compact"/>
      </w:pPr>
      <w:r>
        <w:t xml:space="preserve">Product Weight: 1 kg (assumed).</w:t>
      </w:r>
    </w:p>
    <w:p>
      <w:pPr>
        <w:numPr>
          <w:ilvl w:val="1"/>
          <w:numId w:val="1009"/>
        </w:numPr>
        <w:pStyle w:val="Compact"/>
      </w:pPr>
      <w:r>
        <w:t xml:space="preserve">Transport Distance: 1,500 km (ivsmygftii).</w:t>
      </w:r>
    </w:p>
    <w:p>
      <w:pPr>
        <w:numPr>
          <w:ilvl w:val="1"/>
          <w:numId w:val="1009"/>
        </w:numPr>
        <w:pStyle w:val="Compact"/>
      </w:pPr>
      <w:r>
        <w:t xml:space="preserve">Tonne-Kilometers (tkm): (1 kg / 1000 kg/tonne) * 1,500 km = 1.5 tkm.</w:t>
      </w:r>
    </w:p>
    <w:p>
      <w:pPr>
        <w:numPr>
          <w:ilvl w:val="1"/>
          <w:numId w:val="1009"/>
        </w:numPr>
        <w:pStyle w:val="Compact"/>
      </w:pPr>
      <w:r>
        <w:t xml:space="preserve">Emission Factor (HGV): 0.0565 kg CO2/tkm.</w:t>
      </w:r>
    </w:p>
    <w:p>
      <w:pPr>
        <w:numPr>
          <w:ilvl w:val="1"/>
          <w:numId w:val="1009"/>
        </w:numPr>
        <w:pStyle w:val="Compact"/>
      </w:pPr>
      <w:r>
        <w:rPr>
          <w:bCs/>
          <w:b/>
        </w:rPr>
        <w:t xml:space="preserve">Emissions:</w:t>
      </w:r>
      <w:r>
        <w:t xml:space="preserve"> </w:t>
      </w:r>
      <w:r>
        <w:t xml:space="preserve">1.5 tkm * 0.0565 kg CO2/tkm =</w:t>
      </w:r>
      <w:r>
        <w:t xml:space="preserve"> </w:t>
      </w:r>
      <w:r>
        <w:rPr>
          <w:bCs/>
          <w:b/>
        </w:rPr>
        <w:t xml:space="preserve">0.08 kg CO2e</w:t>
      </w:r>
      <w:r>
        <w:t xml:space="preserve">.</w:t>
      </w:r>
    </w:p>
    <w:p>
      <w:pPr>
        <w:pStyle w:val="FirstParagraph"/>
      </w:pPr>
      <w:r>
        <w:rPr>
          <w:bCs/>
          <w:b/>
        </w:rPr>
        <w:t xml:space="preserve">Total Scope 3 Upstream Emissions: 7.29 kg (Materials) + 0.08 kg (Primary Transport) = 7.37 kg CO2e</w:t>
      </w:r>
    </w:p>
    <w:bookmarkEnd w:id="30"/>
    <w:bookmarkStart w:id="31" w:name="scope-3-downstream-emissions"/>
    <w:p>
      <w:pPr>
        <w:pStyle w:val="Heading4"/>
      </w:pPr>
      <w:r>
        <w:t xml:space="preserve">Scope 3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Last-Mile Delivery Distance (Illustrative): 50 km.</w:t>
      </w:r>
    </w:p>
    <w:p>
      <w:pPr>
        <w:numPr>
          <w:ilvl w:val="1"/>
          <w:numId w:val="1011"/>
        </w:numPr>
        <w:pStyle w:val="Compact"/>
      </w:pPr>
      <w:r>
        <w:t xml:space="preserve">Emission Factor (LCV): 0.15 kg CO2/km.</w:t>
      </w:r>
    </w:p>
    <w:p>
      <w:pPr>
        <w:numPr>
          <w:ilvl w:val="1"/>
          <w:numId w:val="1011"/>
        </w:numPr>
        <w:pStyle w:val="Compact"/>
      </w:pPr>
      <w:r>
        <w:t xml:space="preserve">Note: This assumes the LCV is dedicated to this product unit for the 50km, which represents a conservative worst-case scenario. In reality, shared deliveries would reduce this per-unit impact.</w:t>
      </w:r>
    </w:p>
    <w:p>
      <w:pPr>
        <w:numPr>
          <w:ilvl w:val="1"/>
          <w:numId w:val="1011"/>
        </w:numPr>
        <w:pStyle w:val="Compact"/>
      </w:pPr>
      <w:r>
        <w:rPr>
          <w:bCs/>
          <w:b/>
        </w:rPr>
        <w:t xml:space="preserve">Emissions:</w:t>
      </w:r>
      <w:r>
        <w:t xml:space="preserve"> </w:t>
      </w:r>
      <w:r>
        <w:t xml:space="preserve">50 km * 0.15 kg CO2/km =</w:t>
      </w:r>
      <w:r>
        <w:t xml:space="preserve"> </w:t>
      </w:r>
      <w:r>
        <w:rPr>
          <w:bCs/>
          <w:b/>
        </w:rPr>
        <w:t xml:space="preserve">7.50 kg CO2e</w:t>
      </w:r>
      <w:r>
        <w:t xml:space="preserve">.</w:t>
      </w:r>
    </w:p>
    <w:p>
      <w:pPr>
        <w:numPr>
          <w:ilvl w:val="0"/>
          <w:numId w:val="1010"/>
        </w:numPr>
        <w:pStyle w:val="Compact"/>
      </w:pPr>
      <w:r>
        <w:rPr>
          <w:bCs/>
          <w:b/>
        </w:rPr>
        <w:t xml:space="preserve">Category 11: Use of Sold Products</w:t>
      </w:r>
    </w:p>
    <w:p>
      <w:pPr>
        <w:numPr>
          <w:ilvl w:val="1"/>
          <w:numId w:val="1012"/>
        </w:numPr>
        <w:pStyle w:val="Compact"/>
      </w:pPr>
      <w:r>
        <w:t xml:space="preserve">Product Lifespan: 3 years (lhjfypepov).</w:t>
      </w:r>
    </w:p>
    <w:p>
      <w:pPr>
        <w:numPr>
          <w:ilvl w:val="1"/>
          <w:numId w:val="1012"/>
        </w:numPr>
        <w:pStyle w:val="Compact"/>
      </w:pPr>
      <w:r>
        <w:t xml:space="preserve">Daily Energy Consumption: 0.05 kWh/day (uhxtnsespn).</w:t>
      </w:r>
    </w:p>
    <w:p>
      <w:pPr>
        <w:numPr>
          <w:ilvl w:val="1"/>
          <w:numId w:val="1012"/>
        </w:numPr>
        <w:pStyle w:val="Compact"/>
      </w:pPr>
      <w:r>
        <w:t xml:space="preserve">Annual Energy Consumption: 0.05 kWh/day * 365 days/year = 18.25 kWh/year.</w:t>
      </w:r>
    </w:p>
    <w:p>
      <w:pPr>
        <w:numPr>
          <w:ilvl w:val="1"/>
          <w:numId w:val="1012"/>
        </w:numPr>
        <w:pStyle w:val="Compact"/>
      </w:pPr>
      <w:r>
        <w:t xml:space="preserve">Total Energy Consumption over Lifespan: 18.25 kWh/year * 3 years = 54.75 kWh.</w:t>
      </w:r>
    </w:p>
    <w:p>
      <w:pPr>
        <w:numPr>
          <w:ilvl w:val="1"/>
          <w:numId w:val="1012"/>
        </w:numPr>
        <w:pStyle w:val="Compact"/>
      </w:pPr>
      <w:r>
        <w:t xml:space="preserve">Emission Factor (China Grid): 0.6205 kg CO2e/kWh.</w:t>
      </w:r>
    </w:p>
    <w:p>
      <w:pPr>
        <w:numPr>
          <w:ilvl w:val="1"/>
          <w:numId w:val="1012"/>
        </w:numPr>
        <w:pStyle w:val="Compact"/>
      </w:pPr>
      <w:r>
        <w:rPr>
          <w:bCs/>
          <w:b/>
        </w:rPr>
        <w:t xml:space="preserve">Emissions:</w:t>
      </w:r>
      <w:r>
        <w:t xml:space="preserve"> </w:t>
      </w:r>
      <w:r>
        <w:t xml:space="preserve">54.75 kWh * 0.6205 kg CO2e/kWh =</w:t>
      </w:r>
      <w:r>
        <w:t xml:space="preserve"> </w:t>
      </w:r>
      <w:r>
        <w:rPr>
          <w:bCs/>
          <w:b/>
        </w:rPr>
        <w:t xml:space="preserve">34.07 kg CO2e</w:t>
      </w:r>
      <w:r>
        <w:t xml:space="preserve">.</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Percentage: 60% (pgxqxkjtdm).</w:t>
      </w:r>
    </w:p>
    <w:p>
      <w:pPr>
        <w:numPr>
          <w:ilvl w:val="1"/>
          <w:numId w:val="1013"/>
        </w:numPr>
        <w:pStyle w:val="Compact"/>
      </w:pPr>
      <w:r>
        <w:t xml:space="preserve">Circular/Take-back Programs: Yes, through authorized collection points (hxseyxifph).</w:t>
      </w:r>
    </w:p>
    <w:p>
      <w:pPr>
        <w:numPr>
          <w:ilvl w:val="1"/>
          <w:numId w:val="1013"/>
        </w:numPr>
        <w:pStyle w:val="Compact"/>
      </w:pPr>
      <w:r>
        <w:t xml:space="preserve">For end-of-life, the high recyclability percentage and circular programs suggest a significant reduction in the environmental burden compared to landfilling. A simplified approach is to calculate avoided emissions by assuming a portion of the original material footprint is avoided or recovered.</w:t>
      </w:r>
    </w:p>
    <w:p>
      <w:pPr>
        <w:numPr>
          <w:ilvl w:val="1"/>
          <w:numId w:val="1013"/>
        </w:numPr>
        <w:pStyle w:val="Compact"/>
      </w:pPr>
      <w:r>
        <w:t xml:space="preserve">Potential Material Emissions for End-of-Life impact: 7.29 kg CO2e (from primary materials).</w:t>
      </w:r>
    </w:p>
    <w:p>
      <w:pPr>
        <w:numPr>
          <w:ilvl w:val="1"/>
          <w:numId w:val="1013"/>
        </w:numPr>
        <w:pStyle w:val="Compact"/>
      </w:pPr>
      <w:r>
        <w:t xml:space="preserve">Avoided Emissions due to Recyclability: 7.29 kg CO2e * 60% = 4.37 kg CO2e.</w:t>
      </w:r>
    </w:p>
    <w:p>
      <w:pPr>
        <w:numPr>
          <w:ilvl w:val="1"/>
          <w:numId w:val="1013"/>
        </w:numPr>
        <w:pStyle w:val="Compact"/>
      </w:pPr>
      <w:r>
        <w:rPr>
          <w:bCs/>
          <w:b/>
        </w:rPr>
        <w:t xml:space="preserve">Net End-of-Life Impact: -4.37 kg CO2e (as a credit).</w:t>
      </w:r>
      <w:r>
        <w:t xml:space="preserve"> </w:t>
      </w:r>
      <w:r>
        <w:t xml:space="preserve">This reflects the circular economy benefit.</w:t>
      </w:r>
    </w:p>
    <w:p>
      <w:pPr>
        <w:pStyle w:val="FirstParagraph"/>
      </w:pPr>
      <w:r>
        <w:rPr>
          <w:bCs/>
          <w:b/>
        </w:rPr>
        <w:t xml:space="preserve">Total Scope 3 Downstream Emissions (Net): 7.50 kg (Last-Mile) + 34.07 kg (Use Phase) - 4.37 kg (EoL Credit) = 37.20 kg CO2e</w:t>
      </w:r>
    </w:p>
    <w:bookmarkEnd w:id="31"/>
    <w:bookmarkEnd w:id="32"/>
    <w:bookmarkStart w:id="33" w:name="application-of-2026-lsr-standard"/>
    <w:p>
      <w:pPr>
        <w:pStyle w:val="Heading3"/>
      </w:pPr>
      <w:r>
        <w:t xml:space="preserve">Application of 2026 LSR Standard</w:t>
      </w:r>
    </w:p>
    <w:p>
      <w:pPr>
        <w:pStyle w:val="FirstParagraph"/>
      </w:pPr>
      <w:r>
        <w:t xml:space="preserve">The GHG Protocol Land Sector and Removals (LSR) Standard, released in January 2026 and effective January 1, 2027, provides requirements for accounting for land emissions, CO₂ removals, and biogenic products. For vhrqoeifhl, based on the illustrative BOM, the primary material categories are plastics, electronics, metals, and paper/wood. The LSR Standard\'s direct applicability to "land management and land use change" or "CO₂ removals with storage in land" would be most significant for companies with agricultural supply chains or direct land ownership.</w:t>
      </w:r>
    </w:p>
    <w:p>
      <w:pPr>
        <w:pStyle w:val="BodyText"/>
      </w:pPr>
      <w:r>
        <w:t xml:space="preserve">For this product, the "Paper/Wood" category in the BOM (packaging) is the most relevant point of interaction with the LSR Standard. If the source of this paper/wood involves specific land-use changes (e.g., deforestation) or sustainable forest management practices with associated carbon removals, these would be accounted for under Scope 3, following the LSR guidance. Given the "factory_gate" boundary and general nature of the packaging data, specific LSR-related calculations for this material are not detailed here but would require specific upstream data on the wood fiber source. As the accompanying Guidance document for the LSR Standard is expected in Q2 2026, more practical direction for full implementation will be available soon.</w:t>
      </w:r>
    </w:p>
    <w:bookmarkEnd w:id="33"/>
    <w:bookmarkStart w:id="34" w:name="overall-product-carbon-footprint-summary"/>
    <w:p>
      <w:pPr>
        <w:pStyle w:val="Heading3"/>
      </w:pPr>
      <w:r>
        <w:t xml:space="preserve">Overall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2.98</w:t>
            </w:r>
          </w:p>
        </w:tc>
      </w:tr>
      <w:tr>
        <w:tc>
          <w:tcPr/>
          <w:p>
            <w:pPr>
              <w:pStyle w:val="Compact"/>
              <w:jc w:val="left"/>
            </w:pPr>
            <w:r>
              <w:t xml:space="preserve">Scope 3 Upstream</w:t>
            </w:r>
          </w:p>
        </w:tc>
        <w:tc>
          <w:tcPr/>
          <w:p>
            <w:pPr>
              <w:pStyle w:val="Compact"/>
              <w:jc w:val="left"/>
            </w:pPr>
            <w:r>
              <w:t xml:space="preserve">Category 1: Purchased Goods and Services (Materials)</w:t>
            </w:r>
          </w:p>
        </w:tc>
        <w:tc>
          <w:tcPr/>
          <w:p>
            <w:pPr>
              <w:pStyle w:val="Compact"/>
              <w:jc w:val="left"/>
            </w:pPr>
            <w:r>
              <w:t xml:space="preserve">7.29</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0.08</w:t>
            </w:r>
          </w:p>
        </w:tc>
      </w:tr>
      <w:tr>
        <w:tc>
          <w:tcPr/>
          <w:p>
            <w:pPr>
              <w:pStyle w:val="Compact"/>
              <w:jc w:val="left"/>
            </w:pPr>
            <w:r>
              <w:t xml:space="preserve">Scope 3 Downstream</w:t>
            </w:r>
          </w:p>
        </w:tc>
        <w:tc>
          <w:tcPr/>
          <w:p>
            <w:pPr>
              <w:pStyle w:val="Compact"/>
              <w:jc w:val="left"/>
            </w:pPr>
            <w:r>
              <w:t xml:space="preserve">Category 9: Downstream Transportation and Distribution (Last-Mile)</w:t>
            </w:r>
          </w:p>
        </w:tc>
        <w:tc>
          <w:tcPr/>
          <w:p>
            <w:pPr>
              <w:pStyle w:val="Compact"/>
              <w:jc w:val="left"/>
            </w:pPr>
            <w:r>
              <w:t xml:space="preserve">7.50</w:t>
            </w:r>
          </w:p>
        </w:tc>
      </w:tr>
      <w:tr>
        <w:tc>
          <w:tcPr/>
          <w:p>
            <w:pPr>
              <w:pStyle w:val="Compact"/>
            </w:pPr>
          </w:p>
        </w:tc>
        <w:tc>
          <w:tcPr/>
          <w:p>
            <w:pPr>
              <w:pStyle w:val="Compact"/>
              <w:jc w:val="left"/>
            </w:pPr>
            <w:r>
              <w:t xml:space="preserve">Category 11: Use of Sold Products</w:t>
            </w:r>
          </w:p>
        </w:tc>
        <w:tc>
          <w:tcPr/>
          <w:p>
            <w:pPr>
              <w:pStyle w:val="Compact"/>
              <w:jc w:val="left"/>
            </w:pPr>
            <w:r>
              <w:t xml:space="preserve">34.07</w:t>
            </w:r>
          </w:p>
        </w:tc>
      </w:tr>
      <w:tr>
        <w:tc>
          <w:tcPr/>
          <w:p>
            <w:pPr>
              <w:pStyle w:val="Compact"/>
            </w:pPr>
          </w:p>
        </w:tc>
        <w:tc>
          <w:tcPr/>
          <w:p>
            <w:pPr>
              <w:pStyle w:val="Compact"/>
              <w:jc w:val="left"/>
            </w:pPr>
            <w:r>
              <w:t xml:space="preserve">Category 12: End-of-Life Treatment of Sold Products (Credit)</w:t>
            </w:r>
          </w:p>
        </w:tc>
        <w:tc>
          <w:tcPr/>
          <w:p>
            <w:pPr>
              <w:pStyle w:val="Compact"/>
              <w:jc w:val="left"/>
            </w:pPr>
            <w:r>
              <w:t xml:space="preserve">-4.37</w:t>
            </w:r>
          </w:p>
        </w:tc>
      </w:tr>
      <w:tr>
        <w:tc>
          <w:tcPr>
            <w:gridSpan w:val="2"/>
          </w:tcPr>
          <w:p>
            <w:pPr>
              <w:pStyle w:val="Compact"/>
              <w:jc w:val="right"/>
            </w:pPr>
            <w:r>
              <w:rPr>
                <w:bCs/>
                <w:b/>
              </w:rPr>
              <w:t xml:space="preserve">Total Product Carbon Footprint for 1.0 unit of vhrqoeifhl:</w:t>
            </w:r>
          </w:p>
        </w:tc>
        <w:tc>
          <w:tcPr/>
          <w:p>
            <w:pPr>
              <w:pStyle w:val="Compact"/>
              <w:jc w:val="left"/>
            </w:pPr>
            <w:r>
              <w:rPr>
                <w:bCs/>
                <w:b/>
              </w:rPr>
              <w:t xml:space="preserve">47.55</w:t>
            </w:r>
          </w:p>
        </w:tc>
      </w:tr>
    </w:tbl>
    <w:p>
      <w:r>
        <w:pict>
          <v:rect style="width:0;height:1.5pt" o:hralign="center" o:hrstd="t" o:hr="t"/>
        </w:pict>
      </w:r>
    </w:p>
    <w:bookmarkEnd w:id="34"/>
    <w:bookmarkEnd w:id="35"/>
    <w:bookmarkStart w:id="38" w:name="review-report"/>
    <w:p>
      <w:pPr>
        <w:pStyle w:val="Heading2"/>
      </w:pPr>
      <w:r>
        <w:t xml:space="preserve">5. Review &amp; Report</w:t>
      </w:r>
    </w:p>
    <w:p>
      <w:pPr>
        <w:pStyle w:val="FirstParagraph"/>
      </w:pPr>
      <w:r>
        <w:t xml:space="preserve">The total Product Carbon Footprint for one functional unit of vhrqoeifhl is estimated at</w:t>
      </w:r>
      <w:r>
        <w:t xml:space="preserve"> </w:t>
      </w:r>
      <w:r>
        <w:rPr>
          <w:bCs/>
          <w:b/>
        </w:rPr>
        <w:t xml:space="preserve">47.55 kg CO2e</w:t>
      </w:r>
      <w:r>
        <w:t xml:space="preserve">.</w:t>
      </w:r>
    </w:p>
    <w:bookmarkStart w:id="36" w:name="key-hotspots-identified"/>
    <w:p>
      <w:pPr>
        <w:pStyle w:val="Heading3"/>
      </w:pPr>
      <w:r>
        <w:t xml:space="preserve">Key Hotspots Identified:</w:t>
      </w:r>
    </w:p>
    <w:p>
      <w:pPr>
        <w:numPr>
          <w:ilvl w:val="0"/>
          <w:numId w:val="1014"/>
        </w:numPr>
        <w:pStyle w:val="Compact"/>
      </w:pPr>
      <w:r>
        <w:rPr>
          <w:bCs/>
          <w:b/>
        </w:rPr>
        <w:t xml:space="preserve">Use Phase (Scope 3, Category 11):</w:t>
      </w:r>
      <w:r>
        <w:t xml:space="preserve"> </w:t>
      </w:r>
      <w:r>
        <w:t xml:space="preserve">At 34.07 kg CO2e, the energy consumption during the product\'s lifespan is the single largest contributor, accounting for approximately 71.6% of the total footprint. This highlights the critical importance of energy efficiency and renewable energy integration during product use.</w:t>
      </w:r>
    </w:p>
    <w:p>
      <w:pPr>
        <w:numPr>
          <w:ilvl w:val="0"/>
          <w:numId w:val="1014"/>
        </w:numPr>
        <w:pStyle w:val="Compact"/>
      </w:pPr>
      <w:r>
        <w:rPr>
          <w:bCs/>
          <w:b/>
        </w:rPr>
        <w:t xml:space="preserve">Material Acquisition (Scope 3, Category 1):</w:t>
      </w:r>
      <w:r>
        <w:t xml:space="preserve"> </w:t>
      </w:r>
      <w:r>
        <w:t xml:space="preserve">The manufacturing and extraction of raw materials contribute 7.29 kg CO2e (15.3%), making it the second most significant hotspot. Optimizing material selection, reducing material intensity, and increasing recycled content are key levers here.</w:t>
      </w:r>
    </w:p>
    <w:p>
      <w:pPr>
        <w:numPr>
          <w:ilvl w:val="0"/>
          <w:numId w:val="1014"/>
        </w:numPr>
        <w:pStyle w:val="Compact"/>
      </w:pPr>
      <w:r>
        <w:rPr>
          <w:bCs/>
          <w:b/>
        </w:rPr>
        <w:t xml:space="preserve">Downstream Transportation (Scope 3, Category 9):</w:t>
      </w:r>
      <w:r>
        <w:t xml:space="preserve"> </w:t>
      </w:r>
      <w:r>
        <w:t xml:space="preserve">Last-mile delivery contributes 7.50 kg CO2e (15.8%), which, while significant, is based on a conservative single-unit delivery assumption. Efficiency in logistics and local distribution networks could reduce this.</w:t>
      </w:r>
    </w:p>
    <w:p>
      <w:pPr>
        <w:numPr>
          <w:ilvl w:val="0"/>
          <w:numId w:val="1014"/>
        </w:numPr>
        <w:pStyle w:val="Compact"/>
      </w:pPr>
      <w:r>
        <w:rPr>
          <w:bCs/>
          <w:b/>
        </w:rPr>
        <w:t xml:space="preserve">Production Energy (Scope 2):</w:t>
      </w:r>
      <w:r>
        <w:t xml:space="preserve"> </w:t>
      </w:r>
      <w:r>
        <w:t xml:space="preserve">Emissions from purchased electricity for manufacturing are 2.98 kg CO2e (6.3%), indicating that while not the largest, further decarbonization of the energy mix (beyond the illustrative 40% renewable usage) can reduce this.</w:t>
      </w:r>
    </w:p>
    <w:bookmarkEnd w:id="36"/>
    <w:bookmarkStart w:id="37" w:name="reliability-and-limitations"/>
    <w:p>
      <w:pPr>
        <w:pStyle w:val="Heading3"/>
      </w:pPr>
      <w:r>
        <w:t xml:space="preserve">Reliability and Limitations:</w:t>
      </w:r>
    </w:p>
    <w:p>
      <w:pPr>
        <w:pStyle w:val="FirstParagraph"/>
      </w:pPr>
      <w:r>
        <w:t xml:space="preserve">The reliability of this PCF analysis is contingent on the accuracy and completeness of the provided data. Where placeholder strings were used for specific parameters, illustrative values and industry-standard emission factors were applied. A higher level of precision would be achieved with actual, verifiable data for each input parameter, especially regarding the detailed Bill of Materials, specific transport modes, and actual energy consumption figures.</w:t>
      </w:r>
    </w:p>
    <w:p>
      <w:pPr>
        <w:pStyle w:val="BodyText"/>
      </w:pPr>
      <w:r>
        <w:t xml:space="preserve">The application of the GHG Protocol Land Sector and Removals (LSR) Standard for this product, while acknowledged, requires more specific data on biogenic content and land-use impacts within the supply chain for a detailed quantitative assessment. The current analysis integrates the principles but notes that the guidance document is still forthcoming in Q2 2026 for full implementation support.</w:t>
      </w:r>
    </w:p>
    <w:p>
      <w:pPr>
        <w:pStyle w:val="BodyText"/>
      </w:pPr>
      <w:r>
        <w:t xml:space="preserve">This report provides a robust framework and initial quantification based on the GHG Protocol, offering actionable insights for uxxqmmfyos to prioritize emission reduction strategies for vhrqoeifhl.</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vhrqoeifhl</dc:title>
  <dc:creator/>
  <dc:description>High-detail Product Carbon Footprint (PCF) analysis for vhrqoeifhl by uxxqmmfyos, adhering to GHG Protocol and 2026 LSR Standard.</dc:description>
  <dc:language>en</dc:language>
  <cp:keywords/>
  <dcterms:created xsi:type="dcterms:W3CDTF">2026-05-30T15:58:57Z</dcterms:created>
  <dcterms:modified xsi:type="dcterms:W3CDTF">2026-05-30T15:58:57Z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