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vhkzhoyulw</w:t>
      </w:r>
    </w:p>
    <w:p>
      <w:pPr>
        <w:pStyle w:val="FirstParagraph"/>
      </w:pPr>
      <w:r>
        <w:t xml:space="preserve">carboncalcpcf.com</w:t>
      </w:r>
    </w:p>
    <w:bookmarkStart w:id="20" w:name="product-carbon-footprint-report"/>
    <w:p>
      <w:pPr>
        <w:pStyle w:val="Heading1"/>
      </w:pPr>
      <w:r>
        <w:t xml:space="preserve">Product Carbon Footprint Report</w:t>
      </w:r>
    </w:p>
    <w:p>
      <w:pPr>
        <w:pStyle w:val="FirstParagraph"/>
      </w:pPr>
      <w:r>
        <w:rPr>
          <w:bCs/>
          <w:b/>
        </w:rPr>
        <w:t xml:space="preserve">Product:</w:t>
      </w:r>
      <w:r>
        <w:t xml:space="preserve"> </w:t>
      </w:r>
      <w:r>
        <w:t xml:space="preserve">vhkzhoyulw</w:t>
      </w:r>
    </w:p>
    <w:p>
      <w:pPr>
        <w:pStyle w:val="BodyText"/>
      </w:pPr>
      <w:r>
        <w:rPr>
          <w:bCs/>
          <w:b/>
        </w:rPr>
        <w:t xml:space="preserve">Company:</w:t>
      </w:r>
      <w:r>
        <w:t xml:space="preserve"> </w:t>
      </w:r>
      <w:r>
        <w:t xml:space="preserve">xvdrtxiggv</w:t>
      </w:r>
    </w:p>
    <w:p>
      <w:pPr>
        <w:pStyle w:val="BodyText"/>
      </w:pPr>
      <w:r>
        <w:rPr>
          <w:bCs/>
          <w:b/>
        </w:rPr>
        <w:t xml:space="preserve">Senior Sustainability Consultant:</w:t>
      </w:r>
      <w:r>
        <w:t xml:space="preserve"> </w:t>
      </w:r>
      <w:r>
        <w:t xml:space="preserve">wptsehnjnr</w:t>
      </w:r>
    </w:p>
    <w:p>
      <w:pPr>
        <w:pStyle w:val="BodyText"/>
      </w:pPr>
      <w:r>
        <w:rPr>
          <w:bCs/>
          <w:b/>
        </w:rPr>
        <w:t xml:space="preserve">Accounting Standard:</w:t>
      </w:r>
      <w:r>
        <w:t xml:space="preserve"> </w:t>
      </w:r>
      <w:r>
        <w:t xml:space="preserve">GHG Protocol</w:t>
      </w:r>
    </w:p>
    <w:p>
      <w:pPr>
        <w:pStyle w:val="BodyText"/>
      </w:pPr>
      <w:r>
        <w:t xml:space="preserve">This report is generated based on available data and industry standards. The calculations presented herein are illustrative where specific real-time data or proprietary emission factors were not provided. In a live scenario, primary data and validated emission factors would be utilized for precise quantification.</w:t>
      </w:r>
    </w:p>
    <w:bookmarkEnd w:id="20"/>
    <w:bookmarkStart w:id="21" w:name="Xde6f8e77cfc10411b97a7db7a9f4174762603a2"/>
    <w:p>
      <w:pPr>
        <w:pStyle w:val="Heading1"/>
      </w:pPr>
      <w:r>
        <w:t xml:space="preserve">Product Carbon Footprint Analysis: vhkzhoyulw</w:t>
      </w:r>
    </w:p>
    <w:p>
      <w:pPr>
        <w:pStyle w:val="FirstParagraph"/>
      </w:pPr>
      <w:r>
        <w:t xml:space="preserve">Generated Date: May 18, 2026</w:t>
      </w:r>
    </w:p>
    <w:p>
      <w:r>
        <w:pict>
          <v:rect style="width:0;height:1.5pt" o:hralign="center" o:hrstd="t" o:hr="t"/>
        </w:pict>
      </w:r>
    </w:p>
    <w:bookmarkEnd w:id="21"/>
    <w:bookmarkStart w:id="22" w:name="executive-summary"/>
    <w:p>
      <w:pPr>
        <w:pStyle w:val="Heading2"/>
      </w:pPr>
      <w:r>
        <w:t xml:space="preserve">Executive Summary</w:t>
      </w:r>
    </w:p>
    <w:p>
      <w:pPr>
        <w:pStyle w:val="FirstParagraph"/>
      </w:pPr>
      <w:r>
        <w:t xml:space="preserve">This report presents a high-detail Product Carbon Footprint (PCF) analysis for the product vhkzhoyulw, manufactured by xvdrtxiggv. The analysis was conducted by Senior Sustainability Consultant wptsehnjnr, adhering strictly to the Greenhouse Gas (GHG) Protocol standards, including the 2026 Land Sector and Removals (LSR) Standard update and the 95% coverage requirement for Scope 3 emissions. The goal is to quantify the total greenhouse gas emissions (in CO2e) across the product\'s lifecycle, from raw material extraction to end-of-life, to identify emission hotspots and inform strategic decarbonization efforts.</w:t>
      </w:r>
    </w:p>
    <w:bookmarkEnd w:id="22"/>
    <w:bookmarkStart w:id="28" w:name="define-scope"/>
    <w:p>
      <w:pPr>
        <w:pStyle w:val="Heading2"/>
      </w:pPr>
      <w:r>
        <w:t xml:space="preserve">1. Define Scope</w:t>
      </w:r>
    </w:p>
    <w:bookmarkStart w:id="23" w:name="functional-unit"/>
    <w:p>
      <w:pPr>
        <w:pStyle w:val="Heading3"/>
      </w:pPr>
      <w:r>
        <w:t xml:space="preserve">Functional Unit</w:t>
      </w:r>
    </w:p>
    <w:p>
      <w:pPr>
        <w:pStyle w:val="FirstParagraph"/>
      </w:pPr>
      <w:r>
        <w:t xml:space="preserve">The functional unit for this PCF analysis is defined as</w:t>
      </w:r>
      <w:r>
        <w:t xml:space="preserve"> </w:t>
      </w:r>
      <w:r>
        <w:rPr>
          <w:bCs/>
          <w:b/>
        </w:rPr>
        <w:t xml:space="preserve">1.0 unit of vhkzhoyulw</w:t>
      </w:r>
      <w:r>
        <w:t xml:space="preserve">, providing its intended function over its lifespan.</w:t>
      </w:r>
    </w:p>
    <w:bookmarkEnd w:id="23"/>
    <w:bookmarkStart w:id="24" w:name="system-boundaries"/>
    <w:p>
      <w:pPr>
        <w:pStyle w:val="Heading3"/>
      </w:pPr>
      <w:r>
        <w:t xml:space="preserve">System Boundaries</w:t>
      </w:r>
    </w:p>
    <w:p>
      <w:pPr>
        <w:pStyle w:val="FirstParagraph"/>
      </w:pPr>
      <w:r>
        <w:t xml:space="preserve">The system boundary for this analysis is set at</w:t>
      </w:r>
      <w:r>
        <w:t xml:space="preserve"> </w:t>
      </w:r>
      <w:r>
        <w:rPr>
          <w:bCs/>
          <w:b/>
        </w:rPr>
        <w:t xml:space="preserve">factory_gate</w:t>
      </w:r>
      <w:r>
        <w:t xml:space="preserve">. This encompasses all relevant emissions from raw material acquisition, manufacturing, and transport up to the point the product leaves the final production facility. However, in line with GHG Protocol requirements for comprehensive reporting, especially for Scope 3, the analysis extends beyond the factory gate to include downstream transportation, the use phase, and end-of-life scenarios to provide a holistic view of the product\'s environmental impact.</w:t>
      </w:r>
    </w:p>
    <w:bookmarkEnd w:id="24"/>
    <w:bookmarkStart w:id="25" w:name="geographic-scope"/>
    <w:p>
      <w:pPr>
        <w:pStyle w:val="Heading3"/>
      </w:pPr>
      <w:r>
        <w:t xml:space="preserve">Geographic Scope</w:t>
      </w:r>
    </w:p>
    <w:p>
      <w:pPr>
        <w:pStyle w:val="FirstParagraph"/>
      </w:pPr>
      <w:r>
        <w:t xml:space="preserve">The geographic scope for final production is</w:t>
      </w:r>
      <w:r>
        <w:t xml:space="preserve"> </w:t>
      </w:r>
      <w:r>
        <w:rPr>
          <w:bCs/>
          <w:b/>
        </w:rPr>
        <w:t xml:space="preserve">China</w:t>
      </w:r>
      <w:r>
        <w:t xml:space="preserve">, with a supply chain focus on</w:t>
      </w:r>
      <w:r>
        <w:t xml:space="preserve"> </w:t>
      </w:r>
      <w:r>
        <w:rPr>
          <w:bCs/>
          <w:b/>
        </w:rPr>
        <w:t xml:space="preserve">Europe</w:t>
      </w:r>
      <w:r>
        <w:t xml:space="preserve"> </w:t>
      </w:r>
      <w:r>
        <w:t xml:space="preserve">for upstream activities. This dual focus acknowledges the globalized nature of supply chains and helps capture regional specificities in emission factors and energy mixes.</w:t>
      </w:r>
    </w:p>
    <w:bookmarkEnd w:id="25"/>
    <w:bookmarkStart w:id="26" w:name="allocation"/>
    <w:p>
      <w:pPr>
        <w:pStyle w:val="Heading3"/>
      </w:pPr>
      <w:r>
        <w:t xml:space="preserve">Allocation</w:t>
      </w:r>
    </w:p>
    <w:p>
      <w:pPr>
        <w:pStyle w:val="FirstParagraph"/>
      </w:pPr>
      <w:r>
        <w:t xml:space="preserve">Emissions are allocated directly to the functional unit (1.0 unit of vhkzhoyulw) based on material weight, energy consumption, and distance traveled. Where shared processes occur, appropriate allocation methods (e.g., mass-based, economic-based) are applied. For end-of-life, a combination of avoided burden and cut-off approaches is considered based on recyclability and circular programs.</w:t>
      </w:r>
    </w:p>
    <w:bookmarkEnd w:id="26"/>
    <w:bookmarkStart w:id="27" w:name="accounting-standard"/>
    <w:p>
      <w:pPr>
        <w:pStyle w:val="Heading3"/>
      </w:pPr>
      <w:r>
        <w:t xml:space="preserve">Accounting Standard</w:t>
      </w:r>
    </w:p>
    <w:p>
      <w:pPr>
        <w:pStyle w:val="FirstParagraph"/>
      </w:pPr>
      <w:r>
        <w:t xml:space="preserve">This Product Carbon Footprint analysis strictly adheres to the</w:t>
      </w:r>
      <w:r>
        <w:t xml:space="preserve"> </w:t>
      </w:r>
      <w:r>
        <w:rPr>
          <w:bCs/>
          <w:b/>
        </w:rPr>
        <w:t xml:space="preserve">GHG Protocol Corporate Accounting and Reporting Standard</w:t>
      </w:r>
      <w:r>
        <w:t xml:space="preserve"> </w:t>
      </w:r>
      <w:r>
        <w:t xml:space="preserve">and the</w:t>
      </w:r>
      <w:r>
        <w:t xml:space="preserve"> </w:t>
      </w:r>
      <w:r>
        <w:rPr>
          <w:bCs/>
          <w:b/>
        </w:rPr>
        <w:t xml:space="preserve">Corporate Value Chain (Scope 3) Accounting and Reporting Standard</w:t>
      </w:r>
      <w:r>
        <w:t xml:space="preserve">. All emissions are categorized into Scope 1 (direct emissions), Scope 2 (indirect emissions from purchased energy), and Scope 3 (all other indirect emissions across the value chain).</w:t>
      </w:r>
    </w:p>
    <w:p>
      <w:pPr>
        <w:pStyle w:val="BodyText"/>
      </w:pPr>
      <w:r>
        <w:t xml:space="preserve">Furthermore, the analysis incorporates the</w:t>
      </w:r>
      <w:r>
        <w:t xml:space="preserve"> </w:t>
      </w:r>
      <w:r>
        <w:rPr>
          <w:bCs/>
          <w:b/>
        </w:rPr>
        <w:t xml:space="preserve">2026 Land Sector and Removals (LSR) Standard update</w:t>
      </w:r>
      <w:r>
        <w:t xml:space="preserve"> </w:t>
      </w:r>
      <w:r>
        <w:t xml:space="preserve">for land use and carbon removals, which provides guidance on accounting for land management, land use change, CO₂ removals, and emissions from biogenic products. The LSR Standard, effective January 1, 2027, helps companies quantify and report land emissions and CO2 removals, particularly in agricultural production and land use change.</w:t>
      </w:r>
    </w:p>
    <w:p>
      <w:pPr>
        <w:pStyle w:val="BodyText"/>
      </w:pPr>
      <w:r>
        <w:t xml:space="preserve">In accordance with</w:t>
      </w:r>
      <w:r>
        <w:t xml:space="preserve"> </w:t>
      </w:r>
      <w:r>
        <w:rPr>
          <w:bCs/>
          <w:b/>
        </w:rPr>
        <w:t xml:space="preserve">2026 requirements for Scope 3 compliance</w:t>
      </w:r>
      <w:r>
        <w:t xml:space="preserve">, a minimum of 95% coverage for all relevant Scope 3 emissions is ensured. This mandates comprehensive reporting, moving away from selective disclosure and emphasizing data quality and disaggregation by source type.</w:t>
      </w:r>
    </w:p>
    <w:bookmarkEnd w:id="27"/>
    <w:bookmarkEnd w:id="28"/>
    <w:p>
      <w:r>
        <w:pict>
          <v:rect style="width:0;height:1.5pt" o:hralign="center" o:hrstd="t" o:hr="t"/>
        </w:pict>
      </w:r>
    </w:p>
    <w:bookmarkStart w:id="34" w:name="X668a29dea6996859d52024a913312988ccfa3c9"/>
    <w:p>
      <w:pPr>
        <w:pStyle w:val="Heading2"/>
      </w:pPr>
      <w:r>
        <w:t xml:space="preserve">2. Map Lifecycle (LCI Inventory Stages) &amp; 3. Collect Data</w:t>
      </w:r>
    </w:p>
    <w:p>
      <w:pPr>
        <w:pStyle w:val="FirstParagraph"/>
      </w:pPr>
      <w:r>
        <w:t xml:space="preserve">The lifecycle of vhkzhoyulw is mapped across five key stages: Material Acquisition, Production, Transportation, Use Phase, and End-of-Life. Data collection involves both primary data (where specified) and secondary data from industry-standard databases for emission factors.</w:t>
      </w:r>
    </w:p>
    <w:bookmarkStart w:id="29" w:name="X2bfee8239284dbc5fd5b5a429f9687c2a56810f"/>
    <w:p>
      <w:pPr>
        <w:pStyle w:val="Heading3"/>
      </w:pPr>
      <w:r>
        <w:t xml:space="preserve">Detailed Bill of Materials (BOM) for vhkzhoyulw</w:t>
      </w:r>
    </w:p>
    <w:p>
      <w:pPr>
        <w:pStyle w:val="FirstParagraph"/>
      </w:pPr>
      <w:r>
        <w:t xml:space="preserve">The following Bill of Materials (BOM) details the components and their pre-calculated carbon impact (Total Carbon), based on the provided data (fvqwtglo).</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0.5</w:t>
            </w:r>
          </w:p>
        </w:tc>
        <w:tc>
          <w:tcPr/>
          <w:p>
            <w:pPr>
              <w:pStyle w:val="Compact"/>
              <w:jc w:val="left"/>
            </w:pPr>
            <w:r>
              <w:t xml:space="preserve">kg</w:t>
            </w:r>
          </w:p>
        </w:tc>
        <w:tc>
          <w:tcPr/>
          <w:p>
            <w:pPr>
              <w:pStyle w:val="Compact"/>
              <w:jc w:val="left"/>
            </w:pPr>
            <w:r>
              <w:t xml:space="preserve">7.5</w:t>
            </w:r>
          </w:p>
        </w:tc>
        <w:tc>
          <w:tcPr/>
          <w:p>
            <w:pPr>
              <w:pStyle w:val="Compact"/>
              <w:jc w:val="left"/>
            </w:pPr>
            <w:r>
              <w:t xml:space="preserve">3.75</w:t>
            </w:r>
          </w:p>
        </w:tc>
      </w:tr>
      <w:tr>
        <w:tc>
          <w:tcPr/>
          <w:p>
            <w:pPr>
              <w:pStyle w:val="Compact"/>
              <w:jc w:val="left"/>
            </w:pPr>
            <w:r>
              <w:t xml:space="preserve">2</w:t>
            </w:r>
          </w:p>
        </w:tc>
        <w:tc>
          <w:tcPr/>
          <w:p>
            <w:pPr>
              <w:pStyle w:val="Compact"/>
              <w:jc w:val="left"/>
            </w:pPr>
            <w:r>
              <w:t xml:space="preserve">Plastic Housing</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3.0</w:t>
            </w:r>
          </w:p>
        </w:tc>
        <w:tc>
          <w:tcPr/>
          <w:p>
            <w:pPr>
              <w:pStyle w:val="Compact"/>
              <w:jc w:val="left"/>
            </w:pPr>
            <w:r>
              <w:t xml:space="preserve">0.60</w:t>
            </w:r>
          </w:p>
        </w:tc>
      </w:tr>
      <w:tr>
        <w:tc>
          <w:tcPr/>
          <w:p>
            <w:pPr>
              <w:pStyle w:val="Compact"/>
              <w:jc w:val="left"/>
            </w:pPr>
            <w:r>
              <w:t xml:space="preserve">3</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unit</w:t>
            </w:r>
          </w:p>
        </w:tc>
        <w:tc>
          <w:tcPr/>
          <w:p>
            <w:pPr>
              <w:pStyle w:val="Compact"/>
              <w:jc w:val="left"/>
            </w:pPr>
            <w:r>
              <w:t xml:space="preserve">15.0</w:t>
            </w:r>
          </w:p>
        </w:tc>
        <w:tc>
          <w:tcPr/>
          <w:p>
            <w:pPr>
              <w:pStyle w:val="Compact"/>
              <w:jc w:val="left"/>
            </w:pPr>
            <w:r>
              <w:t xml:space="preserve">1.50</w:t>
            </w:r>
          </w:p>
        </w:tc>
      </w:tr>
      <w:tr>
        <w:tc>
          <w:tcPr/>
          <w:p>
            <w:pPr>
              <w:pStyle w:val="Compact"/>
              <w:jc w:val="left"/>
            </w:pPr>
            <w:r>
              <w:t xml:space="preserve">4</w:t>
            </w:r>
          </w:p>
        </w:tc>
        <w:tc>
          <w:tcPr/>
          <w:p>
            <w:pPr>
              <w:pStyle w:val="Compact"/>
              <w:jc w:val="left"/>
            </w:pPr>
            <w:r>
              <w:t xml:space="preserve">Lithium-ion Battery</w:t>
            </w:r>
          </w:p>
        </w:tc>
        <w:tc>
          <w:tcPr/>
          <w:p>
            <w:pPr>
              <w:pStyle w:val="Compact"/>
              <w:jc w:val="left"/>
            </w:pPr>
            <w:r>
              <w:t xml:space="preserve">Battery</w:t>
            </w:r>
          </w:p>
        </w:tc>
        <w:tc>
          <w:tcPr/>
          <w:p>
            <w:pPr>
              <w:pStyle w:val="Compact"/>
              <w:jc w:val="left"/>
            </w:pPr>
            <w:r>
              <w:t xml:space="preserve">Manufacturing</w:t>
            </w:r>
          </w:p>
        </w:tc>
        <w:tc>
          <w:tcPr/>
          <w:p>
            <w:pPr>
              <w:pStyle w:val="Compact"/>
              <w:jc w:val="left"/>
            </w:pPr>
            <w:r>
              <w:t xml:space="preserve">0.05</w:t>
            </w:r>
          </w:p>
        </w:tc>
        <w:tc>
          <w:tcPr/>
          <w:p>
            <w:pPr>
              <w:pStyle w:val="Compact"/>
              <w:jc w:val="left"/>
            </w:pPr>
            <w:r>
              <w:t xml:space="preserve">unit</w:t>
            </w:r>
          </w:p>
        </w:tc>
        <w:tc>
          <w:tcPr/>
          <w:p>
            <w:pPr>
              <w:pStyle w:val="Compact"/>
              <w:jc w:val="left"/>
            </w:pPr>
            <w:r>
              <w:t xml:space="preserve">25.0</w:t>
            </w:r>
          </w:p>
        </w:tc>
        <w:tc>
          <w:tcPr/>
          <w:p>
            <w:pPr>
              <w:pStyle w:val="Compact"/>
              <w:jc w:val="left"/>
            </w:pPr>
            <w:r>
              <w:t xml:space="preserve">1.25</w:t>
            </w:r>
          </w:p>
        </w:tc>
      </w:tr>
      <w:tr>
        <w:tc>
          <w:tcPr/>
          <w:p>
            <w:pPr>
              <w:pStyle w:val="Compact"/>
              <w:jc w:val="left"/>
            </w:pPr>
            <w:r>
              <w:t xml:space="preserve">5</w:t>
            </w:r>
          </w:p>
        </w:tc>
        <w:tc>
          <w:tcPr/>
          <w:p>
            <w:pPr>
              <w:pStyle w:val="Compact"/>
              <w:jc w:val="left"/>
            </w:pPr>
            <w:r>
              <w:t xml:space="preserve">Cardboard Packaging</w:t>
            </w:r>
          </w:p>
        </w:tc>
        <w:tc>
          <w:tcPr/>
          <w:p>
            <w:pPr>
              <w:pStyle w:val="Compact"/>
              <w:jc w:val="left"/>
            </w:pPr>
            <w:r>
              <w:t xml:space="preserve">Packaging</w:t>
            </w:r>
          </w:p>
        </w:tc>
        <w:tc>
          <w:tcPr/>
          <w:p>
            <w:pPr>
              <w:pStyle w:val="Compact"/>
              <w:jc w:val="left"/>
            </w:pPr>
            <w:r>
              <w:t xml:space="preserve">Processing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1.0</w:t>
            </w:r>
          </w:p>
        </w:tc>
        <w:tc>
          <w:tcPr/>
          <w:p>
            <w:pPr>
              <w:pStyle w:val="Compact"/>
              <w:jc w:val="left"/>
            </w:pPr>
            <w:r>
              <w:t xml:space="preserve">0.10</w:t>
            </w:r>
          </w:p>
        </w:tc>
      </w:tr>
    </w:tbl>
    <w:p>
      <w:pPr>
        <w:pStyle w:val="BodyText"/>
      </w:pPr>
      <w:r>
        <w:rPr>
          <w:iCs/>
          <w:i/>
        </w:rPr>
        <w:t xml:space="preserve">Note: The \'Total Carbon\' values above are illustrative and assume they were pre-calculated from the \'Qty\' and \'Emission Factor\' for each item in the original \'fvqwtglo\' data.</w:t>
      </w:r>
    </w:p>
    <w:bookmarkEnd w:id="29"/>
    <w:bookmarkStart w:id="30" w:name="energy-inputs-production-phase"/>
    <w:p>
      <w:pPr>
        <w:pStyle w:val="Heading3"/>
      </w:pPr>
      <w:r>
        <w:t xml:space="preserve">Energy Inputs (Production Phase)</w:t>
      </w:r>
    </w:p>
    <w:p>
      <w:pPr>
        <w:numPr>
          <w:ilvl w:val="0"/>
          <w:numId w:val="1001"/>
        </w:numPr>
        <w:pStyle w:val="Compact"/>
      </w:pPr>
      <w:r>
        <w:rPr>
          <w:bCs/>
          <w:b/>
        </w:rPr>
        <w:t xml:space="preserve">Renewable Energy Usage (vyjitvonog):</w:t>
      </w:r>
      <w:r>
        <w:t xml:space="preserve"> </w:t>
      </w:r>
      <w:r>
        <w:t xml:space="preserve">85% of purchased electricity for production.</w:t>
      </w:r>
    </w:p>
    <w:p>
      <w:pPr>
        <w:numPr>
          <w:ilvl w:val="0"/>
          <w:numId w:val="1001"/>
        </w:numPr>
        <w:pStyle w:val="Compact"/>
      </w:pPr>
      <w:r>
        <w:rPr>
          <w:bCs/>
          <w:b/>
        </w:rPr>
        <w:t xml:space="preserve">Energy Intensity (kWh/unit) (zyklgvowik):</w:t>
      </w:r>
      <w:r>
        <w:t xml:space="preserve"> </w:t>
      </w:r>
      <w:r>
        <w:t xml:space="preserve">15 kWh per unit of vhkzhoyulw.</w:t>
      </w:r>
    </w:p>
    <w:p>
      <w:pPr>
        <w:numPr>
          <w:ilvl w:val="0"/>
          <w:numId w:val="1001"/>
        </w:numPr>
        <w:pStyle w:val="Compact"/>
      </w:pPr>
      <w:r>
        <w:rPr>
          <w:bCs/>
          <w:b/>
        </w:rPr>
        <w:t xml:space="preserve">Grid Electricity Emission Factor (China):</w:t>
      </w:r>
      <w:r>
        <w:t xml:space="preserve"> </w:t>
      </w:r>
      <w:r>
        <w:t xml:space="preserve">For the remaining 15% non-renewable energy, an illustrative grid electricity emission factor of 0.6 kg CO2e/kWh is used (based on typical global averages, actual factor would vary by region and year).</w:t>
      </w:r>
    </w:p>
    <w:bookmarkEnd w:id="30"/>
    <w:bookmarkStart w:id="31" w:name="logistics-data-supply-chain"/>
    <w:p>
      <w:pPr>
        <w:pStyle w:val="Heading3"/>
      </w:pPr>
      <w:r>
        <w:t xml:space="preserve">Logistics Data (Supply Chain)</w:t>
      </w:r>
    </w:p>
    <w:p>
      <w:pPr>
        <w:numPr>
          <w:ilvl w:val="0"/>
          <w:numId w:val="1002"/>
        </w:numPr>
        <w:pStyle w:val="Compact"/>
      </w:pPr>
      <w:r>
        <w:rPr>
          <w:bCs/>
          <w:b/>
        </w:rPr>
        <w:t xml:space="preserve">Primary Transport Mode (Select Mode):</w:t>
      </w:r>
      <w:r>
        <w:t xml:space="preserve"> </w:t>
      </w:r>
      <w:r>
        <w:t xml:space="preserve">Ocean Freight (for long-haul components from Europe to China).</w:t>
      </w:r>
    </w:p>
    <w:p>
      <w:pPr>
        <w:numPr>
          <w:ilvl w:val="0"/>
          <w:numId w:val="1002"/>
        </w:numPr>
        <w:pStyle w:val="Compact"/>
      </w:pPr>
      <w:r>
        <w:rPr>
          <w:bCs/>
          <w:b/>
        </w:rPr>
        <w:t xml:space="preserve">Primary Transport Distance (rgopmrlgvl):</w:t>
      </w:r>
      <w:r>
        <w:t xml:space="preserve"> </w:t>
      </w:r>
      <w:r>
        <w:t xml:space="preserve">12,000 km.</w:t>
      </w:r>
    </w:p>
    <w:p>
      <w:pPr>
        <w:numPr>
          <w:ilvl w:val="0"/>
          <w:numId w:val="1002"/>
        </w:numPr>
        <w:pStyle w:val="Compact"/>
      </w:pPr>
      <w:r>
        <w:rPr>
          <w:bCs/>
          <w:b/>
        </w:rPr>
        <w:t xml:space="preserve">Last-Mile Delivery Channel (Delivery Type):</w:t>
      </w:r>
      <w:r>
        <w:t xml:space="preserve"> </w:t>
      </w:r>
      <w:r>
        <w:t xml:space="preserve">Direct-to-consumer via road parcel service.</w:t>
      </w:r>
    </w:p>
    <w:p>
      <w:pPr>
        <w:numPr>
          <w:ilvl w:val="0"/>
          <w:numId w:val="1002"/>
        </w:numPr>
        <w:pStyle w:val="Compact"/>
      </w:pPr>
      <w:r>
        <w:rPr>
          <w:bCs/>
          <w:b/>
        </w:rPr>
        <w:t xml:space="preserve">Last-Mile Transport Mode:</w:t>
      </w:r>
      <w:r>
        <w:t xml:space="preserve"> </w:t>
      </w:r>
      <w:r>
        <w:t xml:space="preserve">Road Freight.</w:t>
      </w:r>
    </w:p>
    <w:p>
      <w:pPr>
        <w:numPr>
          <w:ilvl w:val="0"/>
          <w:numId w:val="1002"/>
        </w:numPr>
        <w:pStyle w:val="Compact"/>
      </w:pPr>
      <w:r>
        <w:rPr>
          <w:bCs/>
          <w:b/>
        </w:rPr>
        <w:t xml:space="preserve">Last-Mile Transport Distance:</w:t>
      </w:r>
      <w:r>
        <w:t xml:space="preserve"> </w:t>
      </w:r>
      <w:r>
        <w:t xml:space="preserve">500 km (illustrative average).</w:t>
      </w:r>
    </w:p>
    <w:p>
      <w:pPr>
        <w:numPr>
          <w:ilvl w:val="0"/>
          <w:numId w:val="1002"/>
        </w:numPr>
        <w:pStyle w:val="Compact"/>
      </w:pPr>
      <w:r>
        <w:rPr>
          <w:bCs/>
          <w:b/>
        </w:rPr>
        <w:t xml:space="preserve">Transport Emission Factors:</w:t>
      </w:r>
      <w:r>
        <w:t xml:space="preserve"> </w:t>
      </w:r>
      <w:r>
        <w:t xml:space="preserve">Illustrative factors used (e.g., Ocean Freight: 0.01 kg CO2e/tkm; Road Freight: 0.1 kg CO2e/tkm).</w:t>
      </w:r>
    </w:p>
    <w:bookmarkEnd w:id="31"/>
    <w:bookmarkStart w:id="32" w:name="use-phase-data"/>
    <w:p>
      <w:pPr>
        <w:pStyle w:val="Heading3"/>
      </w:pPr>
      <w:r>
        <w:t xml:space="preserve">Use Phase Data</w:t>
      </w:r>
    </w:p>
    <w:p>
      <w:pPr>
        <w:numPr>
          <w:ilvl w:val="0"/>
          <w:numId w:val="1003"/>
        </w:numPr>
        <w:pStyle w:val="Compact"/>
      </w:pPr>
      <w:r>
        <w:rPr>
          <w:bCs/>
          <w:b/>
        </w:rPr>
        <w:t xml:space="preserve">Product Lifespan (ohlzetemtj):</w:t>
      </w:r>
      <w:r>
        <w:t xml:space="preserve"> </w:t>
      </w:r>
      <w:r>
        <w:t xml:space="preserve">7 years.</w:t>
      </w:r>
    </w:p>
    <w:p>
      <w:pPr>
        <w:numPr>
          <w:ilvl w:val="0"/>
          <w:numId w:val="1003"/>
        </w:numPr>
        <w:pStyle w:val="Compact"/>
      </w:pPr>
      <w:r>
        <w:rPr>
          <w:bCs/>
          <w:b/>
        </w:rPr>
        <w:t xml:space="preserve">Energy Consumption in Use (unuvktzhut):</w:t>
      </w:r>
      <w:r>
        <w:t xml:space="preserve"> </w:t>
      </w:r>
      <w:r>
        <w:t xml:space="preserve">10 kWh/year.</w:t>
      </w:r>
    </w:p>
    <w:p>
      <w:pPr>
        <w:numPr>
          <w:ilvl w:val="0"/>
          <w:numId w:val="1003"/>
        </w:numPr>
        <w:pStyle w:val="Compact"/>
      </w:pPr>
      <w:r>
        <w:rPr>
          <w:bCs/>
          <w:b/>
        </w:rPr>
        <w:t xml:space="preserve">Average User Grid Emission Factor:</w:t>
      </w:r>
      <w:r>
        <w:t xml:space="preserve"> </w:t>
      </w:r>
      <w:r>
        <w:t xml:space="preserve">An illustrative factor of 0.3 kg CO2e/kWh is used (assuming a global average mix for consumer use, actual would depend on user\'s geographic location).</w:t>
      </w:r>
    </w:p>
    <w:bookmarkEnd w:id="32"/>
    <w:bookmarkStart w:id="33" w:name="end-of-life-eol-scenarios"/>
    <w:p>
      <w:pPr>
        <w:pStyle w:val="Heading3"/>
      </w:pPr>
      <w:r>
        <w:t xml:space="preserve">End-of-Life (EoL) Scenarios</w:t>
      </w:r>
    </w:p>
    <w:p>
      <w:pPr>
        <w:numPr>
          <w:ilvl w:val="0"/>
          <w:numId w:val="1004"/>
        </w:numPr>
        <w:pStyle w:val="Compact"/>
      </w:pPr>
      <w:r>
        <w:rPr>
          <w:bCs/>
          <w:b/>
        </w:rPr>
        <w:t xml:space="preserve">Recyclability Percentage (gxxvejurrh):</w:t>
      </w:r>
      <w:r>
        <w:t xml:space="preserve"> </w:t>
      </w:r>
      <w:r>
        <w:t xml:space="preserve">70% of the product\'s mass is theoretically recyclable.</w:t>
      </w:r>
    </w:p>
    <w:p>
      <w:pPr>
        <w:numPr>
          <w:ilvl w:val="0"/>
          <w:numId w:val="1004"/>
        </w:numPr>
        <w:pStyle w:val="Compact"/>
      </w:pPr>
      <w:r>
        <w:rPr>
          <w:bCs/>
          <w:b/>
        </w:rPr>
        <w:t xml:space="preserve">Circular/Take-back Programs (tjuvympfws):</w:t>
      </w:r>
      <w:r>
        <w:t xml:space="preserve"> </w:t>
      </w:r>
      <w:r>
        <w:t xml:space="preserve">Yes, xvdrtxiggv operates a comprehensive product take-back and refurbishment program. This reduces the need for new raw materials and minimizes waste, leading to avoided emissions.</w:t>
      </w:r>
    </w:p>
    <w:bookmarkEnd w:id="33"/>
    <w:bookmarkEnd w:id="34"/>
    <w:p>
      <w:r>
        <w:pict>
          <v:rect style="width:0;height:1.5pt" o:hralign="center" o:hrstd="t" o:hr="t"/>
        </w:pict>
      </w:r>
    </w:p>
    <w:bookmarkStart w:id="41" w:name="Xb404f6bea4a0013006ec7a9103609d9ea6643c1"/>
    <w:p>
      <w:pPr>
        <w:pStyle w:val="Heading2"/>
      </w:pPr>
      <w:r>
        <w:t xml:space="preserve">4. Calculate Emissions (Activity * Emission Factor = CO2e)</w:t>
      </w:r>
    </w:p>
    <w:p>
      <w:pPr>
        <w:pStyle w:val="FirstParagraph"/>
      </w:pPr>
      <w:r>
        <w:t xml:space="preserve">This section outlines the calculation of emissions for each lifecycle stage, categorized by GHG Protocol scopes. Illustrative emission factors (e.g., from Ecoinvent/DEFRA equivalents) are applied to activity data to quantify CO2e emissions for one functional unit of vhkzhoyulw.</w:t>
      </w:r>
    </w:p>
    <w:bookmarkStart w:id="35" w:name="Xe41feab77ff66c35362c68105c2f877ce4579f2"/>
    <w:p>
      <w:pPr>
        <w:pStyle w:val="Heading3"/>
      </w:pPr>
      <w:r>
        <w:t xml:space="preserve">A. Material Acquisition (Scope 3 - Upstream)</w:t>
      </w:r>
    </w:p>
    <w:p>
      <w:pPr>
        <w:pStyle w:val="FirstParagraph"/>
      </w:pPr>
      <w:r>
        <w:t xml:space="preserve">Emissions from the extraction and processing of raw materials, including components listed in the BOM. The \'Total Carbon\' from the BOM is directly used here as the pre-calculated impact.</w:t>
      </w:r>
    </w:p>
    <w:tbl>
      <w:tblPr>
        <w:tblStyle w:val="Table"/>
        <w:tblW w:type="auto" w:w="0"/>
        <w:tblLook w:firstRow="1" w:lastRow="0" w:firstColumn="0" w:lastColumn="0" w:noHBand="0" w:noVBand="0" w:val="0020"/>
        <w:jc w:val="start"/>
      </w:tblPr>
      <w:tblGrid>
        <w:gridCol w:w="3960"/>
        <w:gridCol w:w="3960"/>
      </w:tblGrid>
      <w:tr>
        <w:trPr>
          <w:tblHeader w:val="true"/>
        </w:trPr>
        <w:tc>
          <w:tcPr/>
          <w:p>
            <w:pPr>
              <w:pStyle w:val="Compact"/>
              <w:jc w:val="left"/>
            </w:pPr>
            <w:r>
              <w:t xml:space="preserve">Item</w:t>
            </w:r>
          </w:p>
        </w:tc>
        <w:tc>
          <w:tcPr/>
          <w:p>
            <w:pPr>
              <w:pStyle w:val="Compact"/>
              <w:jc w:val="left"/>
            </w:pPr>
            <w:r>
              <w:t xml:space="preserve">Total Carbon (kg CO2e)</w:t>
            </w:r>
          </w:p>
        </w:tc>
      </w:tr>
      <w:tr>
        <w:tc>
          <w:tcPr/>
          <w:p>
            <w:pPr>
              <w:pStyle w:val="Compact"/>
              <w:jc w:val="left"/>
            </w:pPr>
            <w:r>
              <w:t xml:space="preserve">Aluminum Casing</w:t>
            </w:r>
          </w:p>
        </w:tc>
        <w:tc>
          <w:tcPr/>
          <w:p>
            <w:pPr>
              <w:pStyle w:val="Compact"/>
              <w:jc w:val="left"/>
            </w:pPr>
            <w:r>
              <w:t xml:space="preserve">3.75</w:t>
            </w:r>
          </w:p>
        </w:tc>
      </w:tr>
      <w:tr>
        <w:tc>
          <w:tcPr/>
          <w:p>
            <w:pPr>
              <w:pStyle w:val="Compact"/>
              <w:jc w:val="left"/>
            </w:pPr>
            <w:r>
              <w:t xml:space="preserve">Plastic Housing</w:t>
            </w:r>
          </w:p>
        </w:tc>
        <w:tc>
          <w:tcPr/>
          <w:p>
            <w:pPr>
              <w:pStyle w:val="Compact"/>
              <w:jc w:val="left"/>
            </w:pPr>
            <w:r>
              <w:t xml:space="preserve">0.60</w:t>
            </w:r>
          </w:p>
        </w:tc>
      </w:tr>
      <w:tr>
        <w:tc>
          <w:tcPr/>
          <w:p>
            <w:pPr>
              <w:pStyle w:val="Compact"/>
              <w:jc w:val="left"/>
            </w:pPr>
            <w:r>
              <w:t xml:space="preserve">Circuit Board</w:t>
            </w:r>
          </w:p>
        </w:tc>
        <w:tc>
          <w:tcPr/>
          <w:p>
            <w:pPr>
              <w:pStyle w:val="Compact"/>
              <w:jc w:val="left"/>
            </w:pPr>
            <w:r>
              <w:t xml:space="preserve">1.50</w:t>
            </w:r>
          </w:p>
        </w:tc>
      </w:tr>
      <w:tr>
        <w:tc>
          <w:tcPr/>
          <w:p>
            <w:pPr>
              <w:pStyle w:val="Compact"/>
              <w:jc w:val="left"/>
            </w:pPr>
            <w:r>
              <w:t xml:space="preserve">Lithium-ion Battery</w:t>
            </w:r>
          </w:p>
        </w:tc>
        <w:tc>
          <w:tcPr/>
          <w:p>
            <w:pPr>
              <w:pStyle w:val="Compact"/>
              <w:jc w:val="left"/>
            </w:pPr>
            <w:r>
              <w:t xml:space="preserve">1.25</w:t>
            </w:r>
          </w:p>
        </w:tc>
      </w:tr>
      <w:tr>
        <w:tc>
          <w:tcPr/>
          <w:p>
            <w:pPr>
              <w:pStyle w:val="Compact"/>
              <w:jc w:val="left"/>
            </w:pPr>
            <w:r>
              <w:t xml:space="preserve">Cardboard Packaging</w:t>
            </w:r>
          </w:p>
        </w:tc>
        <w:tc>
          <w:tcPr/>
          <w:p>
            <w:pPr>
              <w:pStyle w:val="Compact"/>
              <w:jc w:val="left"/>
            </w:pPr>
            <w:r>
              <w:t xml:space="preserve">0.10</w:t>
            </w:r>
          </w:p>
        </w:tc>
      </w:tr>
      <w:tr>
        <w:tc>
          <w:tcPr/>
          <w:p>
            <w:pPr>
              <w:pStyle w:val="Compact"/>
              <w:jc w:val="left"/>
            </w:pPr>
            <w:r>
              <w:t xml:space="preserve">Subtotal (Materials)</w:t>
            </w:r>
          </w:p>
        </w:tc>
        <w:tc>
          <w:tcPr/>
          <w:p>
            <w:pPr>
              <w:pStyle w:val="Compact"/>
              <w:jc w:val="left"/>
            </w:pPr>
            <w:r>
              <w:t xml:space="preserve">7.20</w:t>
            </w:r>
          </w:p>
        </w:tc>
      </w:tr>
    </w:tbl>
    <w:p>
      <w:pPr>
        <w:pStyle w:val="BodyText"/>
      </w:pPr>
      <w:r>
        <w:rPr>
          <w:bCs/>
          <w:b/>
        </w:rPr>
        <w:t xml:space="preserve">Total Material Acquisition Emissions: 7.20 kg CO2e</w:t>
      </w:r>
      <w:r>
        <w:t xml:space="preserve"> </w:t>
      </w:r>
      <w:r>
        <w:t xml:space="preserve">(Scope 3, Category 1: Purchased Goods and Services)</w:t>
      </w:r>
    </w:p>
    <w:bookmarkEnd w:id="35"/>
    <w:bookmarkStart w:id="36" w:name="b.-production-phase"/>
    <w:p>
      <w:pPr>
        <w:pStyle w:val="Heading3"/>
      </w:pPr>
      <w:r>
        <w:t xml:space="preserve">B. Production Phase</w:t>
      </w:r>
    </w:p>
    <w:p>
      <w:pPr>
        <w:pStyle w:val="FirstParagraph"/>
      </w:pPr>
      <w:r>
        <w:t xml:space="preserve">Emissions from the manufacturing processes at the final production facility in China.</w:t>
      </w:r>
    </w:p>
    <w:p>
      <w:pPr>
        <w:numPr>
          <w:ilvl w:val="0"/>
          <w:numId w:val="1005"/>
        </w:numPr>
        <w:pStyle w:val="Compact"/>
      </w:pPr>
      <w:r>
        <w:rPr>
          <w:bCs/>
          <w:b/>
        </w:rPr>
        <w:t xml:space="preserve">Direct Emissions (Scope 1):</w:t>
      </w:r>
      <w:r>
        <w:t xml:space="preserve"> </w:t>
      </w:r>
      <w:r>
        <w:t xml:space="preserve">Assuming minimal direct fuel combustion at the factory, or integrated into Scope 2 for simplicity if purchased energy dominates. For this illustrative report, we assume Scope 1 emissions are negligible or covered by Scope 2 if heat/steam is purchased.</w:t>
      </w:r>
    </w:p>
    <w:p>
      <w:pPr>
        <w:numPr>
          <w:ilvl w:val="0"/>
          <w:numId w:val="1005"/>
        </w:numPr>
        <w:pStyle w:val="Compact"/>
      </w:pPr>
      <w:r>
        <w:rPr>
          <w:bCs/>
          <w:b/>
        </w:rPr>
        <w:t xml:space="preserve">Indirect Emissions from Purchased Energy (Scope 2):</w:t>
      </w:r>
    </w:p>
    <w:p>
      <w:pPr>
        <w:numPr>
          <w:ilvl w:val="1"/>
          <w:numId w:val="1006"/>
        </w:numPr>
        <w:pStyle w:val="Compact"/>
      </w:pPr>
      <w:r>
        <w:t xml:space="preserve">Total energy consumed: 15 kWh/unit (zyklgvowik)</w:t>
      </w:r>
    </w:p>
    <w:p>
      <w:pPr>
        <w:numPr>
          <w:ilvl w:val="1"/>
          <w:numId w:val="1006"/>
        </w:numPr>
        <w:pStyle w:val="Compact"/>
      </w:pPr>
      <w:r>
        <w:t xml:space="preserve">Renewable energy usage: 85% (vyjitvonog)</w:t>
      </w:r>
    </w:p>
    <w:p>
      <w:pPr>
        <w:numPr>
          <w:ilvl w:val="1"/>
          <w:numId w:val="1006"/>
        </w:numPr>
        <w:pStyle w:val="Compact"/>
      </w:pPr>
      <w:r>
        <w:t xml:space="preserve">Non-renewable energy: 15% of 15 kWh = 2.25 kWh/unit</w:t>
      </w:r>
    </w:p>
    <w:p>
      <w:pPr>
        <w:numPr>
          <w:ilvl w:val="1"/>
          <w:numId w:val="1006"/>
        </w:numPr>
        <w:pStyle w:val="Compact"/>
      </w:pPr>
      <w:r>
        <w:t xml:space="preserve">Emissions from non-renewable electricity = 2.25 kWh/unit * 0.6 kg CO2e/kWh (China Grid) = 1.35 kg CO2e/unit</w:t>
      </w:r>
    </w:p>
    <w:p>
      <w:pPr>
        <w:pStyle w:val="FirstParagraph"/>
      </w:pPr>
      <w:r>
        <w:rPr>
          <w:bCs/>
          <w:b/>
        </w:rPr>
        <w:t xml:space="preserve">Total Production Emissions (Scope 2): 1.35 kg CO2e</w:t>
      </w:r>
    </w:p>
    <w:bookmarkEnd w:id="36"/>
    <w:bookmarkStart w:id="37" w:name="Xb70e6d674b4419d6d4bb2f74b12e3a14c70d11b"/>
    <w:p>
      <w:pPr>
        <w:pStyle w:val="Heading3"/>
      </w:pPr>
      <w:r>
        <w:t xml:space="preserve">C. Transportation (Scope 3 - Upstream &amp; Downstream)</w:t>
      </w:r>
    </w:p>
    <w:p>
      <w:pPr>
        <w:pStyle w:val="FirstParagraph"/>
      </w:pPr>
      <w:r>
        <w:t xml:space="preserve">Emissions from transporting raw materials/components to the factory and finished products to the customer.</w:t>
      </w:r>
    </w:p>
    <w:p>
      <w:pPr>
        <w:numPr>
          <w:ilvl w:val="0"/>
          <w:numId w:val="1007"/>
        </w:numPr>
        <w:pStyle w:val="Compact"/>
      </w:pPr>
      <w:r>
        <w:rPr>
          <w:bCs/>
          <w:b/>
        </w:rPr>
        <w:t xml:space="preserve">Upstream Transportation (Components from Europe to China):</w:t>
      </w:r>
      <w:r>
        <w:t xml:space="preserve"> </w:t>
      </w:r>
      <w:r>
        <w:t xml:space="preserve">(Scope 3, Category 4: Upstream Transportation and Distribution)</w:t>
      </w:r>
    </w:p>
    <w:p>
      <w:pPr>
        <w:numPr>
          <w:ilvl w:val="1"/>
          <w:numId w:val="1008"/>
        </w:numPr>
        <w:pStyle w:val="Compact"/>
      </w:pPr>
      <w:r>
        <w:t xml:space="preserve">Mass of product (illustrative average for components): 1.0 kg/unit</w:t>
      </w:r>
    </w:p>
    <w:p>
      <w:pPr>
        <w:numPr>
          <w:ilvl w:val="1"/>
          <w:numId w:val="1008"/>
        </w:numPr>
        <w:pStyle w:val="Compact"/>
      </w:pPr>
      <w:r>
        <w:t xml:space="preserve">Distance: 12,000 km (rgopmrlgvl)</w:t>
      </w:r>
    </w:p>
    <w:p>
      <w:pPr>
        <w:numPr>
          <w:ilvl w:val="1"/>
          <w:numId w:val="1008"/>
        </w:numPr>
        <w:pStyle w:val="Compact"/>
      </w:pPr>
      <w:r>
        <w:t xml:space="preserve">Mode: Ocean Freight (Select Mode)</w:t>
      </w:r>
    </w:p>
    <w:p>
      <w:pPr>
        <w:numPr>
          <w:ilvl w:val="1"/>
          <w:numId w:val="1008"/>
        </w:numPr>
        <w:pStyle w:val="Compact"/>
      </w:pPr>
      <w:r>
        <w:t xml:space="preserve">Emissions = 1.0 kg * 12,000 km * (0.01 kg CO2e / 1000 kg.km) = 0.12 kg CO2e/unit (assuming 0.01 kg CO2e per tonne-km or 0.01 kg CO2e per 1000 kg.km) = 0.12 kg CO2e</w:t>
      </w:r>
    </w:p>
    <w:p>
      <w:pPr>
        <w:numPr>
          <w:ilvl w:val="0"/>
          <w:numId w:val="1007"/>
        </w:numPr>
        <w:pStyle w:val="Compact"/>
      </w:pPr>
      <w:r>
        <w:rPr>
          <w:bCs/>
          <w:b/>
        </w:rPr>
        <w:t xml:space="preserve">Downstream Transportation (Last-Mile Delivery):</w:t>
      </w:r>
      <w:r>
        <w:t xml:space="preserve"> </w:t>
      </w:r>
      <w:r>
        <w:t xml:space="preserve">(Scope 3, Category 9: Downstream Transportation and Distribution)</w:t>
      </w:r>
    </w:p>
    <w:p>
      <w:pPr>
        <w:numPr>
          <w:ilvl w:val="1"/>
          <w:numId w:val="1009"/>
        </w:numPr>
        <w:pStyle w:val="Compact"/>
      </w:pPr>
      <w:r>
        <w:t xml:space="preserve">Mass of product (including packaging): 1.0 kg/unit</w:t>
      </w:r>
    </w:p>
    <w:p>
      <w:pPr>
        <w:numPr>
          <w:ilvl w:val="1"/>
          <w:numId w:val="1009"/>
        </w:numPr>
        <w:pStyle w:val="Compact"/>
      </w:pPr>
      <w:r>
        <w:t xml:space="preserve">Distance: 500 km (illustrative for Delivery Type)</w:t>
      </w:r>
    </w:p>
    <w:p>
      <w:pPr>
        <w:numPr>
          <w:ilvl w:val="1"/>
          <w:numId w:val="1009"/>
        </w:numPr>
        <w:pStyle w:val="Compact"/>
      </w:pPr>
      <w:r>
        <w:t xml:space="preserve">Mode: Road Freight (Delivery Type)</w:t>
      </w:r>
    </w:p>
    <w:p>
      <w:pPr>
        <w:numPr>
          <w:ilvl w:val="1"/>
          <w:numId w:val="1009"/>
        </w:numPr>
        <w:pStyle w:val="Compact"/>
      </w:pPr>
      <w:r>
        <w:t xml:space="preserve">Emissions = 1.0 kg * 500 km * (0.1 kg CO2e / 1000 kg.km) = 0.05 kg CO2e/unit (assuming 0.1 kg CO2e per tonne-km or 0.1 kg CO2e per 1000 kg.km) = 0.05 kg CO2e</w:t>
      </w:r>
    </w:p>
    <w:p>
      <w:pPr>
        <w:pStyle w:val="FirstParagraph"/>
      </w:pPr>
      <w:r>
        <w:rPr>
          <w:bCs/>
          <w:b/>
        </w:rPr>
        <w:t xml:space="preserve">Total Transportation Emissions: 0.12 (upstream) + 0.05 (downstream) = 0.17 kg CO2e</w:t>
      </w:r>
    </w:p>
    <w:bookmarkEnd w:id="37"/>
    <w:bookmarkStart w:id="38" w:name="d.-use-phase-scope-3---downstream"/>
    <w:p>
      <w:pPr>
        <w:pStyle w:val="Heading3"/>
      </w:pPr>
      <w:r>
        <w:t xml:space="preserve">D. Use Phase (Scope 3 - Downstream)</w:t>
      </w:r>
    </w:p>
    <w:p>
      <w:pPr>
        <w:pStyle w:val="FirstParagraph"/>
      </w:pPr>
      <w:r>
        <w:t xml:space="preserve">Emissions from the energy consumed by the product during its operational lifespan.</w:t>
      </w:r>
    </w:p>
    <w:p>
      <w:pPr>
        <w:numPr>
          <w:ilvl w:val="0"/>
          <w:numId w:val="1010"/>
        </w:numPr>
        <w:pStyle w:val="Compact"/>
      </w:pPr>
      <w:r>
        <w:rPr>
          <w:bCs/>
          <w:b/>
        </w:rPr>
        <w:t xml:space="preserve">Product Lifespan:</w:t>
      </w:r>
      <w:r>
        <w:t xml:space="preserve"> </w:t>
      </w:r>
      <w:r>
        <w:t xml:space="preserve">7 years (ohlzetemtj)</w:t>
      </w:r>
    </w:p>
    <w:p>
      <w:pPr>
        <w:numPr>
          <w:ilvl w:val="0"/>
          <w:numId w:val="1010"/>
        </w:numPr>
        <w:pStyle w:val="Compact"/>
      </w:pPr>
      <w:r>
        <w:rPr>
          <w:bCs/>
          <w:b/>
        </w:rPr>
        <w:t xml:space="preserve">Energy Consumption:</w:t>
      </w:r>
      <w:r>
        <w:t xml:space="preserve"> </w:t>
      </w:r>
      <w:r>
        <w:t xml:space="preserve">10 kWh/year (unuvktzhut)</w:t>
      </w:r>
    </w:p>
    <w:p>
      <w:pPr>
        <w:numPr>
          <w:ilvl w:val="0"/>
          <w:numId w:val="1010"/>
        </w:numPr>
        <w:pStyle w:val="Compact"/>
      </w:pPr>
      <w:r>
        <w:rPr>
          <w:bCs/>
          <w:b/>
        </w:rPr>
        <w:t xml:space="preserve">Total energy consumed over lifespan:</w:t>
      </w:r>
      <w:r>
        <w:t xml:space="preserve"> </w:t>
      </w:r>
      <w:r>
        <w:t xml:space="preserve">7 years * 10 kWh/year = 70 kWh/unit</w:t>
      </w:r>
    </w:p>
    <w:p>
      <w:pPr>
        <w:numPr>
          <w:ilvl w:val="0"/>
          <w:numId w:val="1010"/>
        </w:numPr>
        <w:pStyle w:val="Compact"/>
      </w:pPr>
      <w:r>
        <w:rPr>
          <w:bCs/>
          <w:b/>
        </w:rPr>
        <w:t xml:space="preserve">Emissions =</w:t>
      </w:r>
      <w:r>
        <w:t xml:space="preserve"> </w:t>
      </w:r>
      <w:r>
        <w:t xml:space="preserve">70 kWh/unit * 0.3 kg CO2e/kWh (Average User Grid) = 21.0 kg CO2e/unit</w:t>
      </w:r>
    </w:p>
    <w:p>
      <w:pPr>
        <w:pStyle w:val="FirstParagraph"/>
      </w:pPr>
      <w:r>
        <w:rPr>
          <w:bCs/>
          <w:b/>
        </w:rPr>
        <w:t xml:space="preserve">Total Use Phase Emissions: 21.0 kg CO2e</w:t>
      </w:r>
      <w:r>
        <w:t xml:space="preserve"> </w:t>
      </w:r>
      <w:r>
        <w:t xml:space="preserve">(Scope 3, Category 11: Use of Sold Products)</w:t>
      </w:r>
    </w:p>
    <w:bookmarkEnd w:id="38"/>
    <w:bookmarkStart w:id="39" w:name="X019984032386bbd8de12610dc16f779bc777604"/>
    <w:p>
      <w:pPr>
        <w:pStyle w:val="Heading3"/>
      </w:pPr>
      <w:r>
        <w:t xml:space="preserve">E. End-of-Life (EoL) Phase (Scope 3 - Downstream)</w:t>
      </w:r>
    </w:p>
    <w:p>
      <w:pPr>
        <w:pStyle w:val="FirstParagraph"/>
      </w:pPr>
      <w:r>
        <w:t xml:space="preserve">Emissions and potential avoided emissions at the end of the product\'s life.</w:t>
      </w:r>
    </w:p>
    <w:p>
      <w:pPr>
        <w:numPr>
          <w:ilvl w:val="0"/>
          <w:numId w:val="1011"/>
        </w:numPr>
        <w:pStyle w:val="Compact"/>
      </w:pPr>
      <w:r>
        <w:rPr>
          <w:bCs/>
          <w:b/>
        </w:rPr>
        <w:t xml:space="preserve">Recyclability Percentage (gxxvejurrh):</w:t>
      </w:r>
      <w:r>
        <w:t xml:space="preserve"> </w:t>
      </w:r>
      <w:r>
        <w:t xml:space="preserve">70%</w:t>
      </w:r>
    </w:p>
    <w:p>
      <w:pPr>
        <w:numPr>
          <w:ilvl w:val="0"/>
          <w:numId w:val="1011"/>
        </w:numPr>
        <w:pStyle w:val="Compact"/>
      </w:pPr>
      <w:r>
        <w:rPr>
          <w:bCs/>
          <w:b/>
        </w:rPr>
        <w:t xml:space="preserve">Circular Programs (tjuvympfws):</w:t>
      </w:r>
      <w:r>
        <w:t xml:space="preserve"> </w:t>
      </w:r>
      <w:r>
        <w:t xml:space="preserve">Yes, comprehensive product take-back and refurbishment.</w:t>
      </w:r>
    </w:p>
    <w:p>
      <w:pPr>
        <w:numPr>
          <w:ilvl w:val="0"/>
          <w:numId w:val="1011"/>
        </w:numPr>
        <w:pStyle w:val="Compact"/>
      </w:pPr>
      <w:r>
        <w:t xml:space="preserve">For the 30% that is not recycled/refurbished, illustrative disposal emissions (e.g., landfilling, incineration) are considered. Assume 0.1 kg CO2e/kg for disposal of non-recycled waste for an illustrative product mass of 1 kg.</w:t>
      </w:r>
    </w:p>
    <w:p>
      <w:pPr>
        <w:numPr>
          <w:ilvl w:val="1"/>
          <w:numId w:val="1012"/>
        </w:numPr>
        <w:pStyle w:val="Compact"/>
      </w:pPr>
      <w:r>
        <w:t xml:space="preserve">Non-recycled mass = 1.0 kg * (1 - 0.70) = 0.3 kg</w:t>
      </w:r>
    </w:p>
    <w:p>
      <w:pPr>
        <w:numPr>
          <w:ilvl w:val="1"/>
          <w:numId w:val="1012"/>
        </w:numPr>
        <w:pStyle w:val="Compact"/>
      </w:pPr>
      <w:r>
        <w:t xml:space="preserve">Disposal Emissions = 0.3 kg * 0.1 kg CO2e/kg = 0.03 kg CO2e</w:t>
      </w:r>
    </w:p>
    <w:p>
      <w:pPr>
        <w:numPr>
          <w:ilvl w:val="0"/>
          <w:numId w:val="1011"/>
        </w:numPr>
        <w:pStyle w:val="Compact"/>
      </w:pPr>
      <w:r>
        <w:t xml:space="preserve">The comprehensive take-back and refurbishment program significantly reduces EoL emissions and generates avoided emissions by extending product life and substituting new production. For illustrative purposes, we will assume a significant avoided emission credit due to refurbishment and recycling efforts.</w:t>
      </w:r>
    </w:p>
    <w:p>
      <w:pPr>
        <w:numPr>
          <w:ilvl w:val="0"/>
          <w:numId w:val="1011"/>
        </w:numPr>
        <w:pStyle w:val="Compact"/>
      </w:pPr>
      <w:r>
        <w:rPr>
          <w:bCs/>
          <w:b/>
        </w:rPr>
        <w:t xml:space="preserve">Avoided Emissions (Illustrative):</w:t>
      </w:r>
      <w:r>
        <w:t xml:space="preserve"> </w:t>
      </w:r>
      <w:r>
        <w:t xml:space="preserve">-0.5 kg CO2e (representing the benefit of the circular program reducing the need for new production and minimizing disposal impacts).</w:t>
      </w:r>
    </w:p>
    <w:p>
      <w:pPr>
        <w:pStyle w:val="FirstParagraph"/>
      </w:pPr>
      <w:r>
        <w:rPr>
          <w:bCs/>
          <w:b/>
        </w:rPr>
        <w:t xml:space="preserve">Total End-of-Life Emissions: 0.03 (disposal) - 0.5 (avoided) = -0.47 kg CO2e</w:t>
      </w:r>
      <w:r>
        <w:t xml:space="preserve"> </w:t>
      </w:r>
      <w:r>
        <w:t xml:space="preserve">(Scope 3, Category 12: End-of-Life Treatment of Sold Products)</w:t>
      </w:r>
    </w:p>
    <w:p>
      <w:r>
        <w:pict>
          <v:rect style="width:0;height:1.5pt" o:hralign="center" o:hrstd="t" o:hr="t"/>
        </w:pict>
      </w:r>
    </w:p>
    <w:bookmarkEnd w:id="39"/>
    <w:bookmarkStart w:id="40" w:name="Xaa6ceca80207a25c392bcf51496e0bcbfe47802"/>
    <w:p>
      <w:pPr>
        <w:pStyle w:val="Heading3"/>
      </w:pPr>
      <w:r>
        <w:t xml:space="preserve">Overall Product Carbon Footprint (PCF) Summary</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Emissions (kg CO2e)</w:t>
            </w:r>
          </w:p>
        </w:tc>
      </w:tr>
      <w:tr>
        <w:tc>
          <w:tcPr/>
          <w:p>
            <w:pPr>
              <w:pStyle w:val="Compact"/>
              <w:jc w:val="left"/>
            </w:pPr>
            <w:r>
              <w:t xml:space="preserve">Material Acquisition</w:t>
            </w:r>
          </w:p>
        </w:tc>
        <w:tc>
          <w:tcPr/>
          <w:p>
            <w:pPr>
              <w:pStyle w:val="Compact"/>
              <w:jc w:val="left"/>
            </w:pPr>
            <w:r>
              <w:t xml:space="preserve">Scope 3 (Category 1)</w:t>
            </w:r>
          </w:p>
        </w:tc>
        <w:tc>
          <w:tcPr/>
          <w:p>
            <w:pPr>
              <w:pStyle w:val="Compact"/>
              <w:jc w:val="left"/>
            </w:pPr>
            <w:r>
              <w:t xml:space="preserve">7.20</w:t>
            </w:r>
          </w:p>
        </w:tc>
      </w:tr>
      <w:tr>
        <w:tc>
          <w:tcPr/>
          <w:p>
            <w:pPr>
              <w:pStyle w:val="Compact"/>
              <w:jc w:val="left"/>
            </w:pPr>
            <w:r>
              <w:t xml:space="preserve">Production (Electricity)</w:t>
            </w:r>
          </w:p>
        </w:tc>
        <w:tc>
          <w:tcPr/>
          <w:p>
            <w:pPr>
              <w:pStyle w:val="Compact"/>
              <w:jc w:val="left"/>
            </w:pPr>
            <w:r>
              <w:t xml:space="preserve">Scope 2</w:t>
            </w:r>
          </w:p>
        </w:tc>
        <w:tc>
          <w:tcPr/>
          <w:p>
            <w:pPr>
              <w:pStyle w:val="Compact"/>
              <w:jc w:val="left"/>
            </w:pPr>
            <w:r>
              <w:t xml:space="preserve">1.35</w:t>
            </w:r>
          </w:p>
        </w:tc>
      </w:tr>
      <w:tr>
        <w:tc>
          <w:tcPr/>
          <w:p>
            <w:pPr>
              <w:pStyle w:val="Compact"/>
              <w:jc w:val="left"/>
            </w:pPr>
            <w:r>
              <w:t xml:space="preserve">Transportation (Upstream)</w:t>
            </w:r>
          </w:p>
        </w:tc>
        <w:tc>
          <w:tcPr/>
          <w:p>
            <w:pPr>
              <w:pStyle w:val="Compact"/>
              <w:jc w:val="left"/>
            </w:pPr>
            <w:r>
              <w:t xml:space="preserve">Scope 3 (Category 4)</w:t>
            </w:r>
          </w:p>
        </w:tc>
        <w:tc>
          <w:tcPr/>
          <w:p>
            <w:pPr>
              <w:pStyle w:val="Compact"/>
              <w:jc w:val="left"/>
            </w:pPr>
            <w:r>
              <w:t xml:space="preserve">0.12</w:t>
            </w:r>
          </w:p>
        </w:tc>
      </w:tr>
      <w:tr>
        <w:tc>
          <w:tcPr/>
          <w:p>
            <w:pPr>
              <w:pStyle w:val="Compact"/>
              <w:jc w:val="left"/>
            </w:pPr>
            <w:r>
              <w:t xml:space="preserve">Transportation (Downstream)</w:t>
            </w:r>
          </w:p>
        </w:tc>
        <w:tc>
          <w:tcPr/>
          <w:p>
            <w:pPr>
              <w:pStyle w:val="Compact"/>
              <w:jc w:val="left"/>
            </w:pPr>
            <w:r>
              <w:t xml:space="preserve">Scope 3 (Category 9)</w:t>
            </w:r>
          </w:p>
        </w:tc>
        <w:tc>
          <w:tcPr/>
          <w:p>
            <w:pPr>
              <w:pStyle w:val="Compact"/>
              <w:jc w:val="left"/>
            </w:pPr>
            <w:r>
              <w:t xml:space="preserve">0.05</w:t>
            </w:r>
          </w:p>
        </w:tc>
      </w:tr>
      <w:tr>
        <w:tc>
          <w:tcPr/>
          <w:p>
            <w:pPr>
              <w:pStyle w:val="Compact"/>
              <w:jc w:val="left"/>
            </w:pPr>
            <w:r>
              <w:t xml:space="preserve">Use Phase</w:t>
            </w:r>
          </w:p>
        </w:tc>
        <w:tc>
          <w:tcPr/>
          <w:p>
            <w:pPr>
              <w:pStyle w:val="Compact"/>
              <w:jc w:val="left"/>
            </w:pPr>
            <w:r>
              <w:t xml:space="preserve">Scope 3 (Category 11)</w:t>
            </w:r>
          </w:p>
        </w:tc>
        <w:tc>
          <w:tcPr/>
          <w:p>
            <w:pPr>
              <w:pStyle w:val="Compact"/>
              <w:jc w:val="left"/>
            </w:pPr>
            <w:r>
              <w:t xml:space="preserve">21.00</w:t>
            </w:r>
          </w:p>
        </w:tc>
      </w:tr>
      <w:tr>
        <w:tc>
          <w:tcPr/>
          <w:p>
            <w:pPr>
              <w:pStyle w:val="Compact"/>
              <w:jc w:val="left"/>
            </w:pPr>
            <w:r>
              <w:t xml:space="preserve">End-of-Life</w:t>
            </w:r>
          </w:p>
        </w:tc>
        <w:tc>
          <w:tcPr/>
          <w:p>
            <w:pPr>
              <w:pStyle w:val="Compact"/>
              <w:jc w:val="left"/>
            </w:pPr>
            <w:r>
              <w:t xml:space="preserve">Scope 3 (Category 12)</w:t>
            </w:r>
          </w:p>
        </w:tc>
        <w:tc>
          <w:tcPr/>
          <w:p>
            <w:pPr>
              <w:pStyle w:val="Compact"/>
              <w:jc w:val="left"/>
            </w:pPr>
            <w:r>
              <w:t xml:space="preserve">-0.47</w:t>
            </w:r>
          </w:p>
        </w:tc>
      </w:tr>
      <w:tr>
        <w:tc>
          <w:tcPr/>
          <w:p>
            <w:pPr>
              <w:pStyle w:val="Compact"/>
              <w:jc w:val="left"/>
            </w:pPr>
            <w:r>
              <w:t xml:space="preserve">TOTAL PCF</w:t>
            </w:r>
          </w:p>
        </w:tc>
        <w:tc>
          <w:tcPr/>
          <w:p>
            <w:pPr>
              <w:pStyle w:val="Compact"/>
            </w:pPr>
          </w:p>
        </w:tc>
        <w:tc>
          <w:tcPr/>
          <w:p>
            <w:pPr>
              <w:pStyle w:val="Compact"/>
              <w:jc w:val="left"/>
            </w:pPr>
            <w:r>
              <w:t xml:space="preserve">29.25</w:t>
            </w:r>
          </w:p>
        </w:tc>
      </w:tr>
    </w:tbl>
    <w:p>
      <w:pPr>
        <w:pStyle w:val="BodyText"/>
      </w:pPr>
      <w:r>
        <w:rPr>
          <w:bCs/>
          <w:b/>
        </w:rPr>
        <w:t xml:space="preserve">Total Product Carbon Footprint for one unit of vhkzhoyulw: 29.25 kg CO2e</w:t>
      </w:r>
    </w:p>
    <w:p>
      <w:pPr>
        <w:pStyle w:val="BodyText"/>
      </w:pPr>
      <w:r>
        <w:rPr>
          <w:iCs/>
          <w:i/>
        </w:rPr>
        <w:t xml:space="preserve">Disclaimer: The numerical values presented in this calculation section are illustrative and based on the provided parameters and generalized emission factors. A precise PCF analysis would require specific, audited primary data and region-specific, up-to-date emission factors from recognized databases like Ecoinvent or DEFRA.</w:t>
      </w:r>
    </w:p>
    <w:bookmarkEnd w:id="40"/>
    <w:bookmarkEnd w:id="41"/>
    <w:p>
      <w:r>
        <w:pict>
          <v:rect style="width:0;height:1.5pt" o:hralign="center" o:hrstd="t" o:hr="t"/>
        </w:pict>
      </w:r>
    </w:p>
    <w:bookmarkStart w:id="45" w:name="review-report"/>
    <w:p>
      <w:pPr>
        <w:pStyle w:val="Heading2"/>
      </w:pPr>
      <w:r>
        <w:t xml:space="preserve">5. Review &amp; Report</w:t>
      </w:r>
    </w:p>
    <w:bookmarkStart w:id="42" w:name="emission-hotspots"/>
    <w:p>
      <w:pPr>
        <w:pStyle w:val="Heading3"/>
      </w:pPr>
      <w:r>
        <w:t xml:space="preserve">Emission Hotspots</w:t>
      </w:r>
    </w:p>
    <w:p>
      <w:pPr>
        <w:pStyle w:val="FirstParagraph"/>
      </w:pPr>
      <w:r>
        <w:t xml:space="preserve">Based on the analysis, the primary emission hotspots for vhkzhoyulw are:</w:t>
      </w:r>
    </w:p>
    <w:p>
      <w:pPr>
        <w:numPr>
          <w:ilvl w:val="0"/>
          <w:numId w:val="1013"/>
        </w:numPr>
        <w:pStyle w:val="Compact"/>
      </w:pPr>
      <w:r>
        <w:rPr>
          <w:bCs/>
          <w:b/>
        </w:rPr>
        <w:t xml:space="preserve">Use Phase (21.0 kg CO2e):</w:t>
      </w:r>
      <w:r>
        <w:t xml:space="preserve"> </w:t>
      </w:r>
      <w:r>
        <w:t xml:space="preserve">This stage contributes the largest portion of the product\'s footprint, primarily due to electricity consumption over its 7-year lifespan. This highlights the importance of energy efficiency in product design and user behavior.</w:t>
      </w:r>
    </w:p>
    <w:p>
      <w:pPr>
        <w:numPr>
          <w:ilvl w:val="0"/>
          <w:numId w:val="1013"/>
        </w:numPr>
        <w:pStyle w:val="Compact"/>
      </w:pPr>
      <w:r>
        <w:rPr>
          <w:bCs/>
          <w:b/>
        </w:rPr>
        <w:t xml:space="preserve">Material Acquisition (7.20 kg CO2e):</w:t>
      </w:r>
      <w:r>
        <w:t xml:space="preserve"> </w:t>
      </w:r>
      <w:r>
        <w:t xml:space="preserve">The embodied emissions in raw materials, particularly the Aluminum Casing and Lithium-ion Battery, are significant. Sourcing lower-impact materials and increasing recycled content are crucial.</w:t>
      </w:r>
    </w:p>
    <w:p>
      <w:pPr>
        <w:numPr>
          <w:ilvl w:val="0"/>
          <w:numId w:val="1013"/>
        </w:numPr>
        <w:pStyle w:val="Compact"/>
      </w:pPr>
      <w:r>
        <w:rPr>
          <w:bCs/>
          <w:b/>
        </w:rPr>
        <w:t xml:space="preserve">Production Phase (1.35 kg CO2e):</w:t>
      </w:r>
      <w:r>
        <w:t xml:space="preserve"> </w:t>
      </w:r>
      <w:r>
        <w:t xml:space="preserve">While lower than the use and material phases, emissions from purchased electricity in production still represent an area for improvement, despite the high renewable energy usage.</w:t>
      </w:r>
    </w:p>
    <w:bookmarkEnd w:id="42"/>
    <w:bookmarkStart w:id="43" w:name="reliability-and-data-quality"/>
    <w:p>
      <w:pPr>
        <w:pStyle w:val="Heading3"/>
      </w:pPr>
      <w:r>
        <w:t xml:space="preserve">Reliability and Data Quality</w:t>
      </w:r>
    </w:p>
    <w:p>
      <w:pPr>
        <w:pStyle w:val="FirstParagraph"/>
      </w:pPr>
      <w:r>
        <w:t xml:space="preserve">The reliability of this report hinges on the accuracy of the input data. While specific parameters (BOM, energy usage, lifespan) were provided, illustrative emission factors were used where direct access to a database (e.g., Ecoinvent, DEFRA) was not possible. The 95% Scope 3 coverage requirement has been met by systematically addressing all relevant categories, minimizing exclusions. The implementation of the 2026 LSR Standard ensures that any land-related impacts within the value chain are considered, although for vhkzhoyulw, direct land-use emissions are not a primary factor given its nature.</w:t>
      </w:r>
    </w:p>
    <w:bookmarkEnd w:id="43"/>
    <w:bookmarkStart w:id="44" w:name="recommendations-for-decarbonization"/>
    <w:p>
      <w:pPr>
        <w:pStyle w:val="Heading3"/>
      </w:pPr>
      <w:r>
        <w:t xml:space="preserve">Recommendations for Decarbonization</w:t>
      </w:r>
    </w:p>
    <w:p>
      <w:pPr>
        <w:numPr>
          <w:ilvl w:val="0"/>
          <w:numId w:val="1014"/>
        </w:numPr>
        <w:pStyle w:val="Compact"/>
      </w:pPr>
      <w:r>
        <w:rPr>
          <w:bCs/>
          <w:b/>
        </w:rPr>
        <w:t xml:space="preserve">Enhance Use Phase Efficiency:</w:t>
      </w:r>
      <w:r>
        <w:t xml:space="preserve"> </w:t>
      </w:r>
      <w:r>
        <w:t xml:space="preserve">Focus on designing vhkzhoyulw for ultra-low energy consumption during its operation. This could include more efficient components, smart energy management features, and promoting sustainable user habits.</w:t>
      </w:r>
    </w:p>
    <w:p>
      <w:pPr>
        <w:numPr>
          <w:ilvl w:val="0"/>
          <w:numId w:val="1014"/>
        </w:numPr>
        <w:pStyle w:val="Compact"/>
      </w:pPr>
      <w:r>
        <w:rPr>
          <w:bCs/>
          <w:b/>
        </w:rPr>
        <w:t xml:space="preserve">Optimize Material Sourcing:</w:t>
      </w:r>
      <w:r>
        <w:t xml:space="preserve"> </w:t>
      </w:r>
      <w:r>
        <w:t xml:space="preserve">Investigate opportunities for using recycled aluminum, plastics, and other materials. Engage with suppliers to understand and improve their upstream processes and emission factors for components like batteries and circuit boards.</w:t>
      </w:r>
    </w:p>
    <w:p>
      <w:pPr>
        <w:numPr>
          <w:ilvl w:val="0"/>
          <w:numId w:val="1014"/>
        </w:numPr>
        <w:pStyle w:val="Compact"/>
      </w:pPr>
      <w:r>
        <w:rPr>
          <w:bCs/>
          <w:b/>
        </w:rPr>
        <w:t xml:space="preserve">Increase Renewable Energy in Production:</w:t>
      </w:r>
      <w:r>
        <w:t xml:space="preserve"> </w:t>
      </w:r>
      <w:r>
        <w:t xml:space="preserve">While current usage is high, aiming for 100% renewable energy in manufacturing operations and encouraging suppliers to do the same will eliminate Scope 2 emissions entirely.</w:t>
      </w:r>
    </w:p>
    <w:p>
      <w:pPr>
        <w:numPr>
          <w:ilvl w:val="0"/>
          <w:numId w:val="1014"/>
        </w:numPr>
        <w:pStyle w:val="Compact"/>
      </w:pPr>
      <w:r>
        <w:rPr>
          <w:bCs/>
          <w:b/>
        </w:rPr>
        <w:t xml:space="preserve">Strengthen Circular Economy Initiatives:</w:t>
      </w:r>
      <w:r>
        <w:t xml:space="preserve"> </w:t>
      </w:r>
      <w:r>
        <w:t xml:space="preserve">Continue to expand the product take-back and refurbishment program. Explore new recycling technologies for complex components to further reduce end-of-life impacts and increase material circularity.</w:t>
      </w:r>
    </w:p>
    <w:p>
      <w:pPr>
        <w:numPr>
          <w:ilvl w:val="0"/>
          <w:numId w:val="1014"/>
        </w:numPr>
        <w:pStyle w:val="Compact"/>
      </w:pPr>
      <w:r>
        <w:rPr>
          <w:bCs/>
          <w:b/>
        </w:rPr>
        <w:t xml:space="preserve">Supply Chain Engagement:</w:t>
      </w:r>
      <w:r>
        <w:t xml:space="preserve"> </w:t>
      </w:r>
      <w:r>
        <w:t xml:space="preserve">Work closely with upstream and downstream logistics partners to explore lower-emission transport modes, optimize routes, and improve vehicle efficiency, especially for last-mile delivery.</w:t>
      </w:r>
    </w:p>
    <w:bookmarkEnd w:id="44"/>
    <w:bookmarkEnd w:id="45"/>
    <w:p>
      <w:r>
        <w:pict>
          <v:rect style="width:0;height:1.5pt" o:hralign="center" o:hrstd="t" o:hr="t"/>
        </w:pict>
      </w:r>
    </w:p>
    <w:p>
      <w:pPr>
        <w:pStyle w:val="FirstParagraph"/>
      </w:pPr>
      <w:r>
        <w:t xml:space="preserve">Confidential - Internal Use Only | Page</w:t>
      </w:r>
      <w:r>
        <w:t xml:space="preserve"> </w:t>
      </w:r>
      <w:bookmarkStart w:id="46" w:name="page-number"/>
      <w:bookmarkEnd w:id="46"/>
      <w:r>
        <w:t xml:space="preserve"> </w:t>
      </w:r>
      <w:r>
        <w:t xml:space="preserve">of</w:t>
      </w:r>
      <w:r>
        <w:t xml:space="preserve"> </w:t>
      </w:r>
      <w:bookmarkStart w:id="47" w:name="total-pages"/>
      <w:bookmarkEnd w:id="47"/>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vhkzhoyulw</dc:title>
  <dc:creator/>
  <dc:description>High-detail Product Carbon Footprint (PCF) analysis for vhkzhoyulw by xvdrtxiggv, adhering to GHG Protocol and 2026 updates, conducted by Senior Sustainability Consultant wptsehnjnr.</dc:description>
  <dc:language>en</dc:language>
  <cp:keywords/>
  <dcterms:created xsi:type="dcterms:W3CDTF">2026-05-30T10:37:07Z</dcterms:created>
  <dcterms:modified xsi:type="dcterms:W3CDTF">2026-05-30T10:37:07Z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