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vhfqtfgyfr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vhfqtfgyfr</w:t>
      </w:r>
    </w:p>
    <w:p>
      <w:pPr>
        <w:pStyle w:val="BodyText"/>
      </w:pPr>
      <w:r>
        <w:rPr>
          <w:bCs/>
          <w:b/>
        </w:rPr>
        <w:t xml:space="preserve">Company Name:</w:t>
      </w:r>
      <w:r>
        <w:t xml:space="preserve"> </w:t>
      </w:r>
      <w:r>
        <w:t xml:space="preserve">zyyhxhndjg</w:t>
      </w:r>
    </w:p>
    <w:p>
      <w:pPr>
        <w:pStyle w:val="BodyText"/>
      </w:pPr>
      <w:r>
        <w:rPr>
          <w:bCs/>
          <w:b/>
        </w:rPr>
        <w:t xml:space="preserve">Senior Sustainability Consultant:</w:t>
      </w:r>
      <w:r>
        <w:t xml:space="preserve"> </w:t>
      </w:r>
      <w:r>
        <w:t xml:space="preserve">tsgssgzrjy</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actual carbon footprint may vary depending on real-time operational specifics and data availability. This analysis uses placeholder values for certain parameters as indicated by the user\'s input string, ensuring the methodology is demonstrated clearly.</w:t>
      </w:r>
    </w:p>
    <w:bookmarkEnd w:id="20"/>
    <w:p>
      <w:pPr>
        <w:pStyle w:val="BodyText"/>
      </w:pPr>
      <w:r>
        <w:t xml:space="preserve">Generated Date: May 28, 2026</w:t>
      </w:r>
    </w:p>
    <w:bookmarkStart w:id="41" w:name="executive-summary"/>
    <w:p>
      <w:pPr>
        <w:pStyle w:val="Heading1"/>
      </w:pPr>
      <w:r>
        <w:t xml:space="preserve">Executive Summary</w:t>
      </w:r>
    </w:p>
    <w:p>
      <w:pPr>
        <w:pStyle w:val="FirstParagraph"/>
      </w:pPr>
      <w:r>
        <w:t xml:space="preserve">This report presents a high-detail Product Carbon Footprint (PCF) analysis for vhfqtfgyfr, manufactured by zyyhxhndjg. The analysis was conducted by tsgssgzrjy, Senior Sustainability Consultant, adhering strictly to the GHG Protocol and incorporating the 2026 Land Sector and Removals (LSR) Standard. The objective is to quantify the greenhouse gas emissions associated with the product across its lifecycle, from material extraction to end-of-life, with a specific focus on achieving at least 95% Scope 3 coverage. Key emission hotspots are identified to guide zyyhxhndjg in implementing targeted decarbonization strategies.</w:t>
      </w:r>
    </w:p>
    <w:p>
      <w:r>
        <w:pict>
          <v:rect style="width:0;height:1.5pt" o:hralign="center" o:hrstd="t" o:hr="t"/>
        </w:pict>
      </w:r>
    </w:p>
    <w:bookmarkStart w:id="21" w:name="defining-the-scope-of-analysis"/>
    <w:p>
      <w:pPr>
        <w:pStyle w:val="Heading2"/>
      </w:pPr>
      <w:r>
        <w:t xml:space="preserve">1. Defining the Scope of Analysis</w:t>
      </w:r>
    </w:p>
    <w:p>
      <w:pPr>
        <w:pStyle w:val="FirstParagraph"/>
      </w:pPr>
      <w:r>
        <w:t xml:space="preserve">The first step in this PCF analysis for vhfqtfgyfr involves clearly defining the system boundaries and other key parameters to ensure consistency and relevance.</w:t>
      </w:r>
    </w:p>
    <w:p>
      <w:pPr>
        <w:numPr>
          <w:ilvl w:val="0"/>
          <w:numId w:val="1001"/>
        </w:numPr>
        <w:pStyle w:val="Compact"/>
      </w:pPr>
      <w:r>
        <w:rPr>
          <w:bCs/>
          <w:b/>
        </w:rPr>
        <w:t xml:space="preserve">Functional Unit:</w:t>
      </w:r>
      <w:r>
        <w:t xml:space="preserve"> </w:t>
      </w:r>
      <w:r>
        <w:t xml:space="preserve">1.0 unit of vhfqtfgyfr. This serves as the reference unit to which all inputs and outputs are normalized, enabling a fair comparison across different products or systems.</w:t>
      </w:r>
    </w:p>
    <w:p>
      <w:pPr>
        <w:numPr>
          <w:ilvl w:val="0"/>
          <w:numId w:val="1001"/>
        </w:numPr>
        <w:pStyle w:val="Compact"/>
      </w:pPr>
      <w:r>
        <w:rPr>
          <w:bCs/>
          <w:b/>
        </w:rPr>
        <w:t xml:space="preserve">System Boundary:</w:t>
      </w:r>
      <w:r>
        <w:t xml:space="preserve"> </w:t>
      </w:r>
      <w:r>
        <w:t xml:space="preserve">factory_gate. This "cradle-to-gate" boundary includes raw material extraction, transport to manufacturing, and the manufacturing processes up to the point the finished product leaves the factory gate. For comprehensive reporting, relevant downstream stages (transport to customer, use phase, end-of-life) are also explicitly included and categorized under Scope 3, expanding beyond a strict factory_gate definition for full lifecycle understanding.</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manufacturing in China while considering the primary source regions and logistics pathways for raw materials and components from Europe.</w:t>
      </w:r>
    </w:p>
    <w:p>
      <w:pPr>
        <w:numPr>
          <w:ilvl w:val="0"/>
          <w:numId w:val="1001"/>
        </w:numPr>
        <w:pStyle w:val="Compact"/>
      </w:pPr>
      <w:r>
        <w:rPr>
          <w:bCs/>
          <w:b/>
        </w:rPr>
        <w:t xml:space="preserve">Accounting Standard:</w:t>
      </w:r>
      <w:r>
        <w:t xml:space="preserve"> </w:t>
      </w:r>
      <w:r>
        <w:t xml:space="preserve">GHG Protocol. This analysis strictly adheres to the Greenhouse Gas Protocol Product Standard, categorizing emissions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Where co-products or by-products exist, allocation will follow GHG Protocol guidance, primarily using physical allocation (e.g., mass) or economic allocation where physical relationships are not directly linked to environmental impacts.</w:t>
      </w:r>
    </w:p>
    <w:p>
      <w:r>
        <w:pict>
          <v:rect style="width:0;height:1.5pt" o:hralign="center" o:hrstd="t" o:hr="t"/>
        </w:pict>
      </w:r>
    </w:p>
    <w:bookmarkEnd w:id="21"/>
    <w:bookmarkStart w:id="27" w:name="Xe9d26cb9b63410b31968ca5f0524527178c7d2e"/>
    <w:p>
      <w:pPr>
        <w:pStyle w:val="Heading2"/>
      </w:pPr>
      <w:r>
        <w:t xml:space="preserve">2. Mapping the Lifecycle &amp; 3. Data Collection and Inventory</w:t>
      </w:r>
    </w:p>
    <w:p>
      <w:pPr>
        <w:pStyle w:val="FirstParagraph"/>
      </w:pPr>
      <w:r>
        <w:t xml:space="preserve">This section details the lifecycle stages of vhfqtfgyfr and the data collected to quantify environmental impacts. The analysis leverages a detailed Bill of Materials (BOM) and specific operational data provided by zyyhxhndjg.</w:t>
      </w:r>
    </w:p>
    <w:bookmarkStart w:id="22" w:name="Xe4f48e52341dd878f289ebd623c34e0aef35ce5"/>
    <w:p>
      <w:pPr>
        <w:pStyle w:val="Heading3"/>
      </w:pPr>
      <w:r>
        <w:t xml:space="preserve">Detailed Bill of Materials (BOM) for vhfqtfgyfr</w:t>
      </w:r>
    </w:p>
    <w:p>
      <w:pPr>
        <w:pStyle w:val="FirstParagraph"/>
      </w:pPr>
      <w:r>
        <w:t xml:space="preserve">For high-accuracy material impact calculation, the provided Detailed Bill of Materials (BOM) (represented by the string \'xqxpsvqg\') has been interpreted following the specified format. As \'xqxpsvqg\' was a placeholder string, a representative sample BOM is used for demonstration, reflecting the structure and incorporating realistic emission factors (sourced from Ecoinvent/DEFRA equivalents where applicable).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Alloy (recycled content)</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3.50</w:t>
            </w:r>
          </w:p>
        </w:tc>
        <w:tc>
          <w:tcPr/>
          <w:p>
            <w:pPr>
              <w:pStyle w:val="Compact"/>
              <w:jc w:val="left"/>
            </w:pPr>
            <w:r>
              <w:t xml:space="preserve">1.75</w:t>
            </w:r>
          </w:p>
        </w:tc>
      </w:tr>
      <w:tr>
        <w:tc>
          <w:tcPr/>
          <w:p>
            <w:pPr>
              <w:pStyle w:val="Compact"/>
              <w:jc w:val="left"/>
            </w:pPr>
            <w:r>
              <w:t xml:space="preserve">P-002</w:t>
            </w:r>
          </w:p>
        </w:tc>
        <w:tc>
          <w:tcPr/>
          <w:p>
            <w:pPr>
              <w:pStyle w:val="Compact"/>
              <w:jc w:val="left"/>
            </w:pPr>
            <w:r>
              <w:t xml:space="preserve">HDPE Granules (virgin)</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2.00</w:t>
            </w:r>
          </w:p>
        </w:tc>
        <w:tc>
          <w:tcPr/>
          <w:p>
            <w:pPr>
              <w:pStyle w:val="Compact"/>
              <w:jc w:val="left"/>
            </w:pPr>
            <w:r>
              <w:t xml:space="preserve">0.60</w:t>
            </w:r>
          </w:p>
        </w:tc>
      </w:tr>
      <w:tr>
        <w:tc>
          <w:tcPr/>
          <w:p>
            <w:pPr>
              <w:pStyle w:val="Compact"/>
              <w:jc w:val="left"/>
            </w:pPr>
            <w:r>
              <w:t xml:space="preserve">C-003</w:t>
            </w:r>
          </w:p>
        </w:tc>
        <w:tc>
          <w:tcPr/>
          <w:p>
            <w:pPr>
              <w:pStyle w:val="Compact"/>
              <w:jc w:val="left"/>
            </w:pPr>
            <w:r>
              <w:t xml:space="preserve">Copper Wiring</w:t>
            </w:r>
          </w:p>
        </w:tc>
        <w:tc>
          <w:tcPr/>
          <w:p>
            <w:pPr>
              <w:pStyle w:val="Compact"/>
              <w:jc w:val="left"/>
            </w:pPr>
            <w:r>
              <w:t xml:space="preserve">Electrics</w:t>
            </w:r>
          </w:p>
        </w:tc>
        <w:tc>
          <w:tcPr/>
          <w:p>
            <w:pPr>
              <w:pStyle w:val="Compact"/>
              <w:jc w:val="left"/>
            </w:pPr>
            <w:r>
              <w:t xml:space="preserve">Drawing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4.00</w:t>
            </w:r>
          </w:p>
        </w:tc>
        <w:tc>
          <w:tcPr/>
          <w:p>
            <w:pPr>
              <w:pStyle w:val="Compact"/>
              <w:jc w:val="left"/>
            </w:pPr>
            <w:r>
              <w:t xml:space="preserve">0.40</w:t>
            </w:r>
          </w:p>
        </w:tc>
      </w:tr>
      <w:tr>
        <w:tc>
          <w:tcPr/>
          <w:p>
            <w:pPr>
              <w:pStyle w:val="Compact"/>
              <w:jc w:val="left"/>
            </w:pPr>
            <w:r>
              <w:t xml:space="preserve">E-004</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0.75</w:t>
            </w:r>
          </w:p>
        </w:tc>
      </w:tr>
      <w:tr>
        <w:tc>
          <w:tcPr>
            <w:gridSpan w:val="7"/>
          </w:tcPr>
          <w:p>
            <w:pPr>
              <w:pStyle w:val="Compact"/>
              <w:jc w:val="right"/>
            </w:pPr>
            <w:r>
              <w:t xml:space="preserve">Total Material Carbon:</w:t>
            </w:r>
          </w:p>
        </w:tc>
        <w:tc>
          <w:tcPr/>
          <w:p>
            <w:pPr>
              <w:pStyle w:val="Compact"/>
              <w:jc w:val="left"/>
            </w:pPr>
            <w:r>
              <w:t xml:space="preserve">3.50</w:t>
            </w:r>
          </w:p>
        </w:tc>
      </w:tr>
    </w:tbl>
    <w:p>
      <w:pPr>
        <w:pStyle w:val="BodyText"/>
      </w:pPr>
      <w:r>
        <w:rPr>
          <w:iCs/>
          <w:i/>
        </w:rPr>
        <w:t xml:space="preserve">Note: The total product weight is assumed to be the sum of BOM quantities, approximately 0.95 kg for calculation purposes.</w:t>
      </w:r>
    </w:p>
    <w:bookmarkEnd w:id="22"/>
    <w:bookmarkStart w:id="23" w:name="energy-inputs-for-production"/>
    <w:p>
      <w:pPr>
        <w:pStyle w:val="Heading3"/>
      </w:pPr>
      <w:r>
        <w:t xml:space="preserve">Energy Inputs for Production</w:t>
      </w:r>
    </w:p>
    <w:p>
      <w:pPr>
        <w:pStyle w:val="FirstParagraph"/>
      </w:pPr>
      <w:r>
        <w:t xml:space="preserve">The energy consumption during the production phase is crucial for Scope 2 emissions.</w:t>
      </w:r>
    </w:p>
    <w:p>
      <w:pPr>
        <w:numPr>
          <w:ilvl w:val="0"/>
          <w:numId w:val="1002"/>
        </w:numPr>
        <w:pStyle w:val="Compact"/>
      </w:pPr>
      <w:r>
        <w:rPr>
          <w:bCs/>
          <w:b/>
        </w:rPr>
        <w:t xml:space="preserve">Renewable Energy Usage:</w:t>
      </w:r>
      <w:r>
        <w:t xml:space="preserve"> </w:t>
      </w:r>
      <w:r>
        <w:t xml:space="preserve">odgpvtgiuf (assumed 75%) of total electricity consumed.</w:t>
      </w:r>
    </w:p>
    <w:p>
      <w:pPr>
        <w:numPr>
          <w:ilvl w:val="0"/>
          <w:numId w:val="1002"/>
        </w:numPr>
        <w:pStyle w:val="Compact"/>
      </w:pPr>
      <w:r>
        <w:rPr>
          <w:bCs/>
          <w:b/>
        </w:rPr>
        <w:t xml:space="preserve">Energy Intensity (kWh/unit):</w:t>
      </w:r>
      <w:r>
        <w:t xml:space="preserve"> </w:t>
      </w:r>
      <w:r>
        <w:t xml:space="preserve">tefivknzit (assumed 10 kWh/unit).</w:t>
      </w:r>
    </w:p>
    <w:p>
      <w:pPr>
        <w:numPr>
          <w:ilvl w:val="0"/>
          <w:numId w:val="1002"/>
        </w:numPr>
        <w:pStyle w:val="Compact"/>
      </w:pPr>
      <w:r>
        <w:rPr>
          <w:bCs/>
          <w:b/>
        </w:rPr>
        <w:t xml:space="preserve">Non-renewable energy consumption:</w:t>
      </w:r>
      <w:r>
        <w:t xml:space="preserve"> </w:t>
      </w:r>
      <w:r>
        <w:t xml:space="preserve">10 kWh/unit * (1 - 0.75) = 2.5 kWh/unit.</w:t>
      </w:r>
    </w:p>
    <w:p>
      <w:pPr>
        <w:numPr>
          <w:ilvl w:val="0"/>
          <w:numId w:val="1002"/>
        </w:numPr>
        <w:pStyle w:val="Compact"/>
      </w:pPr>
      <w:r>
        <w:rPr>
          <w:bCs/>
          <w:b/>
        </w:rPr>
        <w:t xml:space="preserve">Emission Factor for China Grid Electricity (average):</w:t>
      </w:r>
      <w:r>
        <w:t xml:space="preserve"> </w:t>
      </w:r>
      <w:r>
        <w:t xml:space="preserve">0.6 kgCO2e/kWh (industry standard, e.g., IEA data).</w:t>
      </w:r>
    </w:p>
    <w:bookmarkEnd w:id="23"/>
    <w:bookmarkStart w:id="24" w:name="transportation-and-logistics-data"/>
    <w:p>
      <w:pPr>
        <w:pStyle w:val="Heading3"/>
      </w:pPr>
      <w:r>
        <w:t xml:space="preserve">Transportation and Logistics Data</w:t>
      </w:r>
    </w:p>
    <w:p>
      <w:pPr>
        <w:pStyle w:val="FirstParagraph"/>
      </w:pPr>
      <w:r>
        <w:t xml:space="preserve">Logistics play a significant role in Scope 3 upstream and downstream emissions. The provided data is incorporated as follows (placeholder strings interpreted for calculation):</w:t>
      </w:r>
    </w:p>
    <w:p>
      <w:pPr>
        <w:numPr>
          <w:ilvl w:val="0"/>
          <w:numId w:val="1003"/>
        </w:numPr>
        <w:pStyle w:val="Compact"/>
      </w:pPr>
      <w:r>
        <w:rPr>
          <w:bCs/>
          <w:b/>
        </w:rPr>
        <w:t xml:space="preserve">Inbound Transport Mode:</w:t>
      </w:r>
      <w:r>
        <w:t xml:space="preserve"> </w:t>
      </w:r>
      <w:r>
        <w:t xml:space="preserve">Select Mode (assumed Ocean Freight - Container for bulk materials from Europe).</w:t>
      </w:r>
    </w:p>
    <w:p>
      <w:pPr>
        <w:numPr>
          <w:ilvl w:val="0"/>
          <w:numId w:val="1003"/>
        </w:numPr>
        <w:pStyle w:val="Compact"/>
      </w:pPr>
      <w:r>
        <w:rPr>
          <w:bCs/>
          <w:b/>
        </w:rPr>
        <w:t xml:space="preserve">Inbound Transport Distance:</w:t>
      </w:r>
      <w:r>
        <w:t xml:space="preserve"> </w:t>
      </w:r>
      <w:r>
        <w:t xml:space="preserve">rjeynutndf (assumed 12,000 km).</w:t>
      </w:r>
    </w:p>
    <w:p>
      <w:pPr>
        <w:numPr>
          <w:ilvl w:val="0"/>
          <w:numId w:val="1003"/>
        </w:numPr>
        <w:pStyle w:val="Compact"/>
      </w:pPr>
      <w:r>
        <w:rPr>
          <w:bCs/>
          <w:b/>
        </w:rPr>
        <w:t xml:space="preserve">Outbound Last-Mile Delivery Channel:</w:t>
      </w:r>
      <w:r>
        <w:t xml:space="preserve"> </w:t>
      </w:r>
      <w:r>
        <w:t xml:space="preserve">Delivery Type (assumed Direct to Consumer via Parcel Service).</w:t>
      </w:r>
    </w:p>
    <w:p>
      <w:pPr>
        <w:numPr>
          <w:ilvl w:val="0"/>
          <w:numId w:val="1003"/>
        </w:numPr>
        <w:pStyle w:val="Compact"/>
      </w:pPr>
      <w:r>
        <w:rPr>
          <w:bCs/>
          <w:b/>
        </w:rPr>
        <w:t xml:space="preserve">Outbound Last-Mile Transport Mode:</w:t>
      </w:r>
      <w:r>
        <w:t xml:space="preserve"> </w:t>
      </w:r>
      <w:r>
        <w:t xml:space="preserve">Assumed Road Freight (HGV/Light Commercial Vehicle).</w:t>
      </w:r>
    </w:p>
    <w:p>
      <w:pPr>
        <w:numPr>
          <w:ilvl w:val="0"/>
          <w:numId w:val="1003"/>
        </w:numPr>
        <w:pStyle w:val="Compact"/>
      </w:pPr>
      <w:r>
        <w:rPr>
          <w:bCs/>
          <w:b/>
        </w:rPr>
        <w:t xml:space="preserve">Outbound Last-Mile Transport Distance:</w:t>
      </w:r>
      <w:r>
        <w:t xml:space="preserve"> </w:t>
      </w:r>
      <w:r>
        <w:t xml:space="preserve">rjeynutndf (assumed 500 km for last-mile delivery).</w:t>
      </w:r>
    </w:p>
    <w:p>
      <w:pPr>
        <w:numPr>
          <w:ilvl w:val="0"/>
          <w:numId w:val="1003"/>
        </w:numPr>
        <w:pStyle w:val="Compact"/>
      </w:pPr>
      <w:r>
        <w:rPr>
          <w:bCs/>
          <w:b/>
        </w:rPr>
        <w:t xml:space="preserve">Emission Factor for Ocean Freight (Container):</w:t>
      </w:r>
      <w:r>
        <w:t xml:space="preserve"> </w:t>
      </w:r>
      <w:r>
        <w:t xml:space="preserve">0.01 kgCO2e/tonne-km.</w:t>
      </w:r>
    </w:p>
    <w:p>
      <w:pPr>
        <w:numPr>
          <w:ilvl w:val="0"/>
          <w:numId w:val="1003"/>
        </w:numPr>
        <w:pStyle w:val="Compact"/>
      </w:pPr>
      <w:r>
        <w:rPr>
          <w:bCs/>
          <w:b/>
        </w:rPr>
        <w:t xml:space="preserve">Emission Factor for Road Freight (HGV):</w:t>
      </w:r>
      <w:r>
        <w:t xml:space="preserve"> </w:t>
      </w:r>
      <w:r>
        <w:t xml:space="preserve">0.08 kgCO2e/tonne-km.</w:t>
      </w:r>
    </w:p>
    <w:bookmarkEnd w:id="24"/>
    <w:bookmarkStart w:id="25" w:name="product-use-phase-data"/>
    <w:p>
      <w:pPr>
        <w:pStyle w:val="Heading3"/>
      </w:pPr>
      <w:r>
        <w:t xml:space="preserve">Product Use Phase Data</w:t>
      </w:r>
    </w:p>
    <w:p>
      <w:pPr>
        <w:pStyle w:val="FirstParagraph"/>
      </w:pPr>
      <w:r>
        <w:t xml:space="preserve">The energy consumption during the product\'s use phase is a major contributor to its lifecycle footprint.</w:t>
      </w:r>
    </w:p>
    <w:p>
      <w:pPr>
        <w:numPr>
          <w:ilvl w:val="0"/>
          <w:numId w:val="1004"/>
        </w:numPr>
        <w:pStyle w:val="Compact"/>
      </w:pPr>
      <w:r>
        <w:rPr>
          <w:bCs/>
          <w:b/>
        </w:rPr>
        <w:t xml:space="preserve">Product Lifespan:</w:t>
      </w:r>
      <w:r>
        <w:t xml:space="preserve"> </w:t>
      </w:r>
      <w:r>
        <w:t xml:space="preserve">jiedithdrv (assumed 5 years).</w:t>
      </w:r>
    </w:p>
    <w:p>
      <w:pPr>
        <w:numPr>
          <w:ilvl w:val="0"/>
          <w:numId w:val="1004"/>
        </w:numPr>
        <w:pStyle w:val="Compact"/>
      </w:pPr>
      <w:r>
        <w:rPr>
          <w:bCs/>
          <w:b/>
        </w:rPr>
        <w:t xml:space="preserve">Energy Consumption in Use:</w:t>
      </w:r>
      <w:r>
        <w:t xml:space="preserve"> </w:t>
      </w:r>
      <w:r>
        <w:t xml:space="preserve">uydjsooine (assumed 20 kWh/year).</w:t>
      </w:r>
    </w:p>
    <w:p>
      <w:pPr>
        <w:numPr>
          <w:ilvl w:val="0"/>
          <w:numId w:val="1004"/>
        </w:numPr>
        <w:pStyle w:val="Compact"/>
      </w:pPr>
      <w:r>
        <w:rPr>
          <w:bCs/>
          <w:b/>
        </w:rPr>
        <w:t xml:space="preserve">Emission Factor for Global Average Electricity Grid (conservative for use phase):</w:t>
      </w:r>
      <w:r>
        <w:t xml:space="preserve"> </w:t>
      </w:r>
      <w:r>
        <w:t xml:space="preserve">0.4 kgCO2e/kWh (as specific use location is not provided, a global average is used).</w:t>
      </w:r>
    </w:p>
    <w:bookmarkEnd w:id="25"/>
    <w:bookmarkStart w:id="26" w:name="end-of-life-eol-scenarios"/>
    <w:p>
      <w:pPr>
        <w:pStyle w:val="Heading3"/>
      </w:pPr>
      <w:r>
        <w:t xml:space="preserve">End-of-Life (EoL) Scenarios</w:t>
      </w:r>
    </w:p>
    <w:p>
      <w:pPr>
        <w:pStyle w:val="FirstParagraph"/>
      </w:pPr>
      <w:r>
        <w:t xml:space="preserve">Circular economy impacts are incorporated by considering recyclability and take-back programs.</w:t>
      </w:r>
    </w:p>
    <w:p>
      <w:pPr>
        <w:numPr>
          <w:ilvl w:val="0"/>
          <w:numId w:val="1005"/>
        </w:numPr>
        <w:pStyle w:val="Compact"/>
      </w:pPr>
      <w:r>
        <w:rPr>
          <w:bCs/>
          <w:b/>
        </w:rPr>
        <w:t xml:space="preserve">Recyclability Percentage:</w:t>
      </w:r>
      <w:r>
        <w:t xml:space="preserve"> </w:t>
      </w:r>
      <w:r>
        <w:t xml:space="preserve">miwhyjqwhx (assumed 80%).</w:t>
      </w:r>
    </w:p>
    <w:p>
      <w:pPr>
        <w:numPr>
          <w:ilvl w:val="0"/>
          <w:numId w:val="1005"/>
        </w:numPr>
        <w:pStyle w:val="Compact"/>
      </w:pPr>
      <w:r>
        <w:rPr>
          <w:bCs/>
          <w:b/>
        </w:rPr>
        <w:t xml:space="preserve">Circular/Take-back Programs:</w:t>
      </w:r>
      <w:r>
        <w:t xml:space="preserve"> </w:t>
      </w:r>
      <w:r>
        <w:t xml:space="preserve">vuoltjgonx (assumed Established take-back program for key components).</w:t>
      </w:r>
    </w:p>
    <w:p>
      <w:pPr>
        <w:numPr>
          <w:ilvl w:val="0"/>
          <w:numId w:val="1005"/>
        </w:numPr>
        <w:pStyle w:val="Compact"/>
      </w:pPr>
      <w:r>
        <w:rPr>
          <w:bCs/>
          <w:b/>
        </w:rPr>
        <w:t xml:space="preserve">Recycling Benefit:</w:t>
      </w:r>
      <w:r>
        <w:t xml:space="preserve"> </w:t>
      </w:r>
      <w:r>
        <w:t xml:space="preserve">For the 80% recycled content, a credit can be applied based on avoided virgin material production. For simplicity in this illustrative report, we\'ll calculate the avoided emissions for the recycled portion.</w:t>
      </w:r>
    </w:p>
    <w:p>
      <w:pPr>
        <w:numPr>
          <w:ilvl w:val="0"/>
          <w:numId w:val="1005"/>
        </w:numPr>
        <w:pStyle w:val="Compact"/>
      </w:pPr>
      <w:r>
        <w:rPr>
          <w:bCs/>
          <w:b/>
        </w:rPr>
        <w:t xml:space="preserve">Disposal (Landfill/Incineration) Emissions:</w:t>
      </w:r>
      <w:r>
        <w:t xml:space="preserve"> </w:t>
      </w:r>
      <w:r>
        <w:t xml:space="preserve">For the remaining 20%.</w:t>
      </w:r>
    </w:p>
    <w:p>
      <w:r>
        <w:pict>
          <v:rect style="width:0;height:1.5pt" o:hralign="center" o:hrstd="t" o:hr="t"/>
        </w:pict>
      </w:r>
    </w:p>
    <w:bookmarkEnd w:id="26"/>
    <w:bookmarkEnd w:id="27"/>
    <w:bookmarkStart w:id="36" w:name="X439a6e6dcb43c636bf515ffaf3f59bce0bd6490"/>
    <w:p>
      <w:pPr>
        <w:pStyle w:val="Heading2"/>
      </w:pPr>
      <w:r>
        <w:t xml:space="preserve">4. Emission Calculation (Activity * Emission Factor = CO2e)</w:t>
      </w:r>
    </w:p>
    <w:p>
      <w:pPr>
        <w:pStyle w:val="FirstParagraph"/>
      </w:pPr>
      <w:r>
        <w:t xml:space="preserve">Emissions are calculated for each lifecycle stage and categorized according to the GHG Protocol (Scope 1, 2, 3), incorporating the 2026 LSR Update and ensuring comprehensive Scope 3 coverage.</w:t>
      </w:r>
    </w:p>
    <w:bookmarkStart w:id="28" w:name="scope-1-emissions-direct-emissions"/>
    <w:p>
      <w:pPr>
        <w:pStyle w:val="Heading3"/>
      </w:pPr>
      <w:r>
        <w:t xml:space="preserve">Scope 1 Emissions (Direct Emissions)</w:t>
      </w:r>
    </w:p>
    <w:p>
      <w:pPr>
        <w:pStyle w:val="FirstParagraph"/>
      </w:pPr>
      <w:r>
        <w:t xml:space="preserve">For product manufacturing, direct emissions typically include on-site fuel combustion (e.g., for heating or specific processes not powered by electricity) and process emissions. Assuming \'vhfqtfgyfr\' manufacturing primarily relies on electricity and the provided BOM does not indicate significant direct process emissions, Scope 1 emissions are considered negligible for this product\'s factory_gate boundary unless specific process data is provided. However, for a high-detail analysis, a small placeholder for potential fugitive emissions or minimal on-site fuel use is included.</w:t>
      </w:r>
    </w:p>
    <w:p>
      <w:pPr>
        <w:numPr>
          <w:ilvl w:val="0"/>
          <w:numId w:val="1006"/>
        </w:numPr>
        <w:pStyle w:val="Compact"/>
      </w:pPr>
      <w:r>
        <w:rPr>
          <w:bCs/>
          <w:b/>
        </w:rPr>
        <w:t xml:space="preserve">Estimated Scope 1 (Process/Fugitive):</w:t>
      </w:r>
      <w:r>
        <w:t xml:space="preserve"> </w:t>
      </w:r>
      <w:r>
        <w:t xml:space="preserve">0.01 kgCO2e/unit.</w:t>
      </w:r>
    </w:p>
    <w:bookmarkEnd w:id="28"/>
    <w:bookmarkStart w:id="29" w:name="scope-2-emissions-purchased-electricity"/>
    <w:p>
      <w:pPr>
        <w:pStyle w:val="Heading3"/>
      </w:pPr>
      <w:r>
        <w:t xml:space="preserve">Scope 2 Emissions (Purchased Electricity)</w:t>
      </w:r>
    </w:p>
    <w:p>
      <w:pPr>
        <w:pStyle w:val="FirstParagraph"/>
      </w:pPr>
      <w:r>
        <w:t xml:space="preserve">These emissions arise from the generation of purchased electricity consumed during the manufacturing process.</w:t>
      </w:r>
    </w:p>
    <w:p>
      <w:pPr>
        <w:numPr>
          <w:ilvl w:val="0"/>
          <w:numId w:val="1007"/>
        </w:numPr>
        <w:pStyle w:val="Compact"/>
      </w:pPr>
      <w:r>
        <w:rPr>
          <w:bCs/>
          <w:b/>
        </w:rPr>
        <w:t xml:space="preserve">Total Electricity Consumption:</w:t>
      </w:r>
      <w:r>
        <w:t xml:space="preserve"> </w:t>
      </w:r>
      <w:r>
        <w:t xml:space="preserve">10 kWh/unit.</w:t>
      </w:r>
    </w:p>
    <w:p>
      <w:pPr>
        <w:numPr>
          <w:ilvl w:val="0"/>
          <w:numId w:val="1007"/>
        </w:numPr>
        <w:pStyle w:val="Compact"/>
      </w:pPr>
      <w:r>
        <w:rPr>
          <w:bCs/>
          <w:b/>
        </w:rPr>
        <w:t xml:space="preserve">Non-renewable Electricity Share:</w:t>
      </w:r>
      <w:r>
        <w:t xml:space="preserve"> </w:t>
      </w:r>
      <w:r>
        <w:t xml:space="preserve">10 kWh/unit * (1 - 0.75) = 2.5 kWh/unit.</w:t>
      </w:r>
    </w:p>
    <w:p>
      <w:pPr>
        <w:numPr>
          <w:ilvl w:val="0"/>
          <w:numId w:val="1007"/>
        </w:numPr>
        <w:pStyle w:val="Compact"/>
      </w:pPr>
      <w:r>
        <w:rPr>
          <w:bCs/>
          <w:b/>
        </w:rPr>
        <w:t xml:space="preserve">Scope 2 Emissions:</w:t>
      </w:r>
      <w:r>
        <w:t xml:space="preserve"> </w:t>
      </w:r>
      <w:r>
        <w:t xml:space="preserve">2.5 kWh/unit * 0.6 kgCO2e/kWh (China Grid EF) = 1.5 kgCO2e/unit.</w:t>
      </w:r>
    </w:p>
    <w:bookmarkEnd w:id="29"/>
    <w:bookmarkStart w:id="32" w:name="scope-3-emissions-value-chain-emissions"/>
    <w:p>
      <w:pPr>
        <w:pStyle w:val="Heading3"/>
      </w:pPr>
      <w:r>
        <w:t xml:space="preserve">Scope 3 Emissions (Value Chain Emissions)</w:t>
      </w:r>
    </w:p>
    <w:p>
      <w:pPr>
        <w:pStyle w:val="FirstParagraph"/>
      </w:pPr>
      <w:r>
        <w:t xml:space="preserve">Scope 3 emissions cover all other indirect emissions in the product\'s value chain, both upstream and downstream. Achieving at least 95% coverage is crucial for 2026 requirements.</w:t>
      </w:r>
    </w:p>
    <w:bookmarkStart w:id="30" w:name="a.-upstream-emissions-categories-1-8"/>
    <w:p>
      <w:pPr>
        <w:pStyle w:val="Heading4"/>
      </w:pPr>
      <w:r>
        <w:t xml:space="preserve">A. Upstream Emissions (Categories 1-8)</w:t>
      </w:r>
    </w:p>
    <w:p>
      <w:pPr>
        <w:pStyle w:val="FirstParagraph"/>
      </w:pPr>
      <w:r>
        <w:rPr>
          <w:bCs/>
          <w:b/>
        </w:rPr>
        <w:t xml:space="preserve">Category 1: Purchased Goods and Services (Materials)</w:t>
      </w:r>
    </w:p>
    <w:p>
      <w:pPr>
        <w:numPr>
          <w:ilvl w:val="0"/>
          <w:numId w:val="1008"/>
        </w:numPr>
        <w:pStyle w:val="Compact"/>
      </w:pPr>
      <w:r>
        <w:rPr>
          <w:bCs/>
          <w:b/>
        </w:rPr>
        <w:t xml:space="preserve">Total Material Carbon (from BOM):</w:t>
      </w:r>
      <w:r>
        <w:t xml:space="preserve"> </w:t>
      </w:r>
      <w:r>
        <w:t xml:space="preserve">3.50 kgCO2e/unit.</w:t>
      </w:r>
    </w:p>
    <w:p>
      <w:pPr>
        <w:pStyle w:val="FirstParagraph"/>
      </w:pPr>
      <w:r>
        <w:rPr>
          <w:bCs/>
          <w:b/>
        </w:rPr>
        <w:t xml:space="preserve">Category 4: Upstream Transportation and Distribution</w:t>
      </w:r>
    </w:p>
    <w:p>
      <w:pPr>
        <w:numPr>
          <w:ilvl w:val="0"/>
          <w:numId w:val="1009"/>
        </w:numPr>
        <w:pStyle w:val="Compact"/>
      </w:pPr>
      <w:r>
        <w:rPr>
          <w:bCs/>
          <w:b/>
        </w:rPr>
        <w:t xml:space="preserve">Product Weight (for transport):</w:t>
      </w:r>
      <w:r>
        <w:t xml:space="preserve"> </w:t>
      </w:r>
      <w:r>
        <w:t xml:space="preserve">~0.95 kg (assumed 1 kg for simplicity in transport calculation).</w:t>
      </w:r>
    </w:p>
    <w:p>
      <w:pPr>
        <w:numPr>
          <w:ilvl w:val="0"/>
          <w:numId w:val="1009"/>
        </w:numPr>
        <w:pStyle w:val="Compact"/>
      </w:pPr>
      <w:r>
        <w:rPr>
          <w:bCs/>
          <w:b/>
        </w:rPr>
        <w:t xml:space="preserve">Inbound Ocean Freight:</w:t>
      </w:r>
      <w:r>
        <w:t xml:space="preserve"> </w:t>
      </w:r>
      <w:r>
        <w:t xml:space="preserve">1 kg * 12,000 km * 0.01 kgCO2e/tonne-km = 1 kg * 12,000 km * (0.01/1000) kgCO2e/kg-km = 0.12 kgCO2e/unit.</w:t>
      </w:r>
    </w:p>
    <w:bookmarkEnd w:id="30"/>
    <w:bookmarkStart w:id="31" w:name="b.-downstream-emissions-categories-9-15"/>
    <w:p>
      <w:pPr>
        <w:pStyle w:val="Heading4"/>
      </w:pPr>
      <w:r>
        <w:t xml:space="preserve">B. Downstream Emissions (Categories 9-15)</w:t>
      </w:r>
    </w:p>
    <w:p>
      <w:pPr>
        <w:pStyle w:val="FirstParagraph"/>
      </w:pPr>
      <w:r>
        <w:rPr>
          <w:bCs/>
          <w:b/>
        </w:rPr>
        <w:t xml:space="preserve">Category 9: Downstream Transportation and Distribution (Last-Mile)</w:t>
      </w:r>
    </w:p>
    <w:p>
      <w:pPr>
        <w:numPr>
          <w:ilvl w:val="0"/>
          <w:numId w:val="1010"/>
        </w:numPr>
        <w:pStyle w:val="Compact"/>
      </w:pPr>
      <w:r>
        <w:rPr>
          <w:bCs/>
          <w:b/>
        </w:rPr>
        <w:t xml:space="preserve">Last-Mile Road Freight:</w:t>
      </w:r>
      <w:r>
        <w:t xml:space="preserve"> </w:t>
      </w:r>
      <w:r>
        <w:t xml:space="preserve">1 kg * 500 km * 0.08 kgCO2e/tonne-km = 1 kg * 500 km * (0.08/1000) kgCO2e/kg-km = 0.04 kgCO2e/unit.</w:t>
      </w:r>
    </w:p>
    <w:p>
      <w:pPr>
        <w:pStyle w:val="FirstParagraph"/>
      </w:pPr>
      <w:r>
        <w:rPr>
          <w:bCs/>
          <w:b/>
        </w:rPr>
        <w:t xml:space="preserve">Category 11: Use of Sold Products</w:t>
      </w:r>
    </w:p>
    <w:p>
      <w:pPr>
        <w:numPr>
          <w:ilvl w:val="0"/>
          <w:numId w:val="1011"/>
        </w:numPr>
        <w:pStyle w:val="Compact"/>
      </w:pPr>
      <w:r>
        <w:rPr>
          <w:bCs/>
          <w:b/>
        </w:rPr>
        <w:t xml:space="preserve">Energy Consumption in Use:</w:t>
      </w:r>
      <w:r>
        <w:t xml:space="preserve"> </w:t>
      </w:r>
      <w:r>
        <w:t xml:space="preserve">20 kWh/year * 5 years = 100 kWh/unit over lifespan.</w:t>
      </w:r>
    </w:p>
    <w:p>
      <w:pPr>
        <w:numPr>
          <w:ilvl w:val="0"/>
          <w:numId w:val="1011"/>
        </w:numPr>
        <w:pStyle w:val="Compact"/>
      </w:pPr>
      <w:r>
        <w:rPr>
          <w:bCs/>
          <w:b/>
        </w:rPr>
        <w:t xml:space="preserve">Use Phase Emissions:</w:t>
      </w:r>
      <w:r>
        <w:t xml:space="preserve"> </w:t>
      </w:r>
      <w:r>
        <w:t xml:space="preserve">100 kWh/unit * 0.4 kgCO2e/kWh (Global Average Grid EF) = 40.0 kgCO2e/unit.</w:t>
      </w:r>
    </w:p>
    <w:p>
      <w:pPr>
        <w:pStyle w:val="FirstParagraph"/>
      </w:pPr>
      <w:r>
        <w:rPr>
          <w:bCs/>
          <w:b/>
        </w:rPr>
        <w:t xml:space="preserve">Category 12: End-of-Life Treatment of Sold Products</w:t>
      </w:r>
    </w:p>
    <w:p>
      <w:pPr>
        <w:numPr>
          <w:ilvl w:val="0"/>
          <w:numId w:val="1012"/>
        </w:numPr>
        <w:pStyle w:val="Compact"/>
      </w:pPr>
      <w:r>
        <w:rPr>
          <w:bCs/>
          <w:b/>
        </w:rPr>
        <w:t xml:space="preserve">Product Weight:</w:t>
      </w:r>
      <w:r>
        <w:t xml:space="preserve"> </w:t>
      </w:r>
      <w:r>
        <w:t xml:space="preserve">0.95 kg.</w:t>
      </w:r>
    </w:p>
    <w:p>
      <w:pPr>
        <w:numPr>
          <w:ilvl w:val="0"/>
          <w:numId w:val="1012"/>
        </w:numPr>
        <w:pStyle w:val="Compact"/>
      </w:pPr>
      <w:r>
        <w:rPr>
          <w:bCs/>
          <w:b/>
        </w:rPr>
        <w:t xml:space="preserve">Recyclability Percentage:</w:t>
      </w:r>
      <w:r>
        <w:t xml:space="preserve"> </w:t>
      </w:r>
      <w:r>
        <w:t xml:space="preserve">80%.</w:t>
      </w:r>
    </w:p>
    <w:p>
      <w:pPr>
        <w:numPr>
          <w:ilvl w:val="0"/>
          <w:numId w:val="1012"/>
        </w:numPr>
        <w:pStyle w:val="Compact"/>
      </w:pPr>
      <w:r>
        <w:rPr>
          <w:bCs/>
          <w:b/>
        </w:rPr>
        <w:t xml:space="preserve">Recycled Mass:</w:t>
      </w:r>
      <w:r>
        <w:t xml:space="preserve"> </w:t>
      </w:r>
      <w:r>
        <w:t xml:space="preserve">0.95 kg * 0.80 = 0.76 kg.</w:t>
      </w:r>
    </w:p>
    <w:p>
      <w:pPr>
        <w:numPr>
          <w:ilvl w:val="0"/>
          <w:numId w:val="1012"/>
        </w:numPr>
        <w:pStyle w:val="Compact"/>
      </w:pPr>
      <w:r>
        <w:rPr>
          <w:bCs/>
          <w:b/>
        </w:rPr>
        <w:t xml:space="preserve">Disposed Mass:</w:t>
      </w:r>
      <w:r>
        <w:t xml:space="preserve"> </w:t>
      </w:r>
      <w:r>
        <w:t xml:space="preserve">0.95 kg * 0.20 = 0.19 kg.</w:t>
      </w:r>
    </w:p>
    <w:p>
      <w:pPr>
        <w:numPr>
          <w:ilvl w:val="0"/>
          <w:numId w:val="1012"/>
        </w:numPr>
        <w:pStyle w:val="Compact"/>
      </w:pPr>
      <w:r>
        <w:rPr>
          <w:bCs/>
          <w:b/>
        </w:rPr>
        <w:t xml:space="preserve">Recycling Credit (Avoided Emissions):</w:t>
      </w:r>
      <w:r>
        <w:t xml:space="preserve"> </w:t>
      </w:r>
      <w:r>
        <w:t xml:space="preserve">Assuming an average avoided emission of 1.5 kgCO2e/kg for recycled materials (varies by material). 0.76 kg * -1.5 kgCO2e/kg = -1.14 kgCO2e/unit (negative value indicates a benefit).</w:t>
      </w:r>
    </w:p>
    <w:p>
      <w:pPr>
        <w:numPr>
          <w:ilvl w:val="0"/>
          <w:numId w:val="1012"/>
        </w:numPr>
        <w:pStyle w:val="Compact"/>
      </w:pPr>
      <w:r>
        <w:rPr>
          <w:bCs/>
          <w:b/>
        </w:rPr>
        <w:t xml:space="preserve">Disposal Emissions (e.g., Landfill):</w:t>
      </w:r>
      <w:r>
        <w:t xml:space="preserve"> </w:t>
      </w:r>
      <w:r>
        <w:t xml:space="preserve">Assuming an emission factor of 0.5 kgCO2e/kg for disposed mixed waste. 0.19 kg * 0.5 kgCO2e/kg = 0.095 kgCO2e/unit.</w:t>
      </w:r>
    </w:p>
    <w:p>
      <w:pPr>
        <w:numPr>
          <w:ilvl w:val="0"/>
          <w:numId w:val="1012"/>
        </w:numPr>
        <w:pStyle w:val="Compact"/>
      </w:pPr>
      <w:r>
        <w:rPr>
          <w:bCs/>
          <w:b/>
        </w:rPr>
        <w:t xml:space="preserve">Net EoL Emissions:</w:t>
      </w:r>
      <w:r>
        <w:t xml:space="preserve"> </w:t>
      </w:r>
      <w:r>
        <w:t xml:space="preserve">-1.14 kgCO2e/unit + 0.095 kgCO2e/unit = -1.045 kgCO2e/unit.</w:t>
      </w:r>
    </w:p>
    <w:bookmarkEnd w:id="31"/>
    <w:bookmarkEnd w:id="32"/>
    <w:bookmarkStart w:id="33" w:name="X9b8f96e5fd6ec30b02c91cc11d45f1568d9808c"/>
    <w:p>
      <w:pPr>
        <w:pStyle w:val="Heading3"/>
      </w:pPr>
      <w:r>
        <w:t xml:space="preserve">Summary of Emissions by Scope and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 / Scope</w:t>
            </w:r>
          </w:p>
        </w:tc>
        <w:tc>
          <w:tcPr/>
          <w:p>
            <w:pPr>
              <w:pStyle w:val="Compact"/>
              <w:jc w:val="left"/>
            </w:pPr>
            <w:r>
              <w:t xml:space="preserve">Category</w:t>
            </w:r>
          </w:p>
        </w:tc>
        <w:tc>
          <w:tcPr/>
          <w:p>
            <w:pPr>
              <w:pStyle w:val="Compact"/>
              <w:jc w:val="left"/>
            </w:pPr>
            <w:r>
              <w:t xml:space="preserve">Emissions (kgCO2e/unit)</w:t>
            </w:r>
          </w:p>
        </w:tc>
        <w:tc>
          <w:tcPr/>
          <w:p>
            <w:pPr>
              <w:pStyle w:val="Compact"/>
              <w:jc w:val="left"/>
            </w:pPr>
            <w:r>
              <w:t xml:space="preserve">Notes</w:t>
            </w:r>
          </w:p>
        </w:tc>
      </w:tr>
      <w:tr>
        <w:tc>
          <w:tcPr/>
          <w:p>
            <w:pPr>
              <w:pStyle w:val="Compact"/>
              <w:jc w:val="left"/>
            </w:pPr>
            <w:r>
              <w:rPr>
                <w:bCs/>
                <w:b/>
              </w:rPr>
              <w:t xml:space="preserve">Manufacturing (Scope 1)</w:t>
            </w:r>
          </w:p>
        </w:tc>
        <w:tc>
          <w:tcPr/>
          <w:p>
            <w:pPr>
              <w:pStyle w:val="Compact"/>
              <w:jc w:val="left"/>
            </w:pPr>
            <w:r>
              <w:t xml:space="preserve">Direct Process &amp; Fugitive</w:t>
            </w:r>
          </w:p>
        </w:tc>
        <w:tc>
          <w:tcPr/>
          <w:p>
            <w:pPr>
              <w:pStyle w:val="Compact"/>
              <w:jc w:val="left"/>
            </w:pPr>
            <w:r>
              <w:t xml:space="preserve">0.01</w:t>
            </w:r>
          </w:p>
        </w:tc>
        <w:tc>
          <w:tcPr/>
          <w:p>
            <w:pPr>
              <w:pStyle w:val="Compact"/>
              <w:jc w:val="left"/>
            </w:pPr>
            <w:r>
              <w:t xml:space="preserve">Estimated for specific processes not covered by electricity.</w:t>
            </w:r>
          </w:p>
        </w:tc>
      </w:tr>
      <w:tr>
        <w:tc>
          <w:tcPr/>
          <w:p>
            <w:pPr>
              <w:pStyle w:val="Compact"/>
              <w:jc w:val="left"/>
            </w:pPr>
            <w:r>
              <w:rPr>
                <w:bCs/>
                <w:b/>
              </w:rPr>
              <w:t xml:space="preserve">Manufacturing (Scope 2)</w:t>
            </w:r>
          </w:p>
        </w:tc>
        <w:tc>
          <w:tcPr/>
          <w:p>
            <w:pPr>
              <w:pStyle w:val="Compact"/>
              <w:jc w:val="left"/>
            </w:pPr>
            <w:r>
              <w:t xml:space="preserve">Purchased Electricity</w:t>
            </w:r>
          </w:p>
        </w:tc>
        <w:tc>
          <w:tcPr/>
          <w:p>
            <w:pPr>
              <w:pStyle w:val="Compact"/>
              <w:jc w:val="left"/>
            </w:pPr>
            <w:r>
              <w:t xml:space="preserve">1.50</w:t>
            </w:r>
          </w:p>
        </w:tc>
        <w:tc>
          <w:tcPr/>
          <w:p>
            <w:pPr>
              <w:pStyle w:val="Compact"/>
              <w:jc w:val="left"/>
            </w:pPr>
            <w:r>
              <w:t xml:space="preserve">Based on non-renewable grid consumption in China.</w:t>
            </w:r>
          </w:p>
        </w:tc>
      </w:tr>
      <w:tr>
        <w:tc>
          <w:tcPr/>
          <w:p>
            <w:pPr>
              <w:pStyle w:val="Compact"/>
              <w:jc w:val="left"/>
            </w:pPr>
            <w:r>
              <w:rPr>
                <w:bCs/>
                <w:b/>
              </w:rPr>
              <w:t xml:space="preserve">Materials (Scope 3)</w:t>
            </w:r>
          </w:p>
        </w:tc>
        <w:tc>
          <w:tcPr/>
          <w:p>
            <w:pPr>
              <w:pStyle w:val="Compact"/>
              <w:jc w:val="left"/>
            </w:pPr>
            <w:r>
              <w:t xml:space="preserve">Cat. 1: Purchased Goods &amp; Services</w:t>
            </w:r>
          </w:p>
        </w:tc>
        <w:tc>
          <w:tcPr/>
          <w:p>
            <w:pPr>
              <w:pStyle w:val="Compact"/>
              <w:jc w:val="left"/>
            </w:pPr>
            <w:r>
              <w:t xml:space="preserve">3.50</w:t>
            </w:r>
          </w:p>
        </w:tc>
        <w:tc>
          <w:tcPr/>
          <w:p>
            <w:pPr>
              <w:pStyle w:val="Compact"/>
              <w:jc w:val="left"/>
            </w:pPr>
            <w:r>
              <w:t xml:space="preserve">Based on detailed BOM and material emission factors.</w:t>
            </w:r>
          </w:p>
        </w:tc>
      </w:tr>
      <w:tr>
        <w:tc>
          <w:tcPr/>
          <w:p>
            <w:pPr>
              <w:pStyle w:val="Compact"/>
              <w:jc w:val="left"/>
            </w:pPr>
            <w:r>
              <w:rPr>
                <w:bCs/>
                <w:b/>
              </w:rPr>
              <w:t xml:space="preserve">Inbound Transport (Scope 3)</w:t>
            </w:r>
          </w:p>
        </w:tc>
        <w:tc>
          <w:tcPr/>
          <w:p>
            <w:pPr>
              <w:pStyle w:val="Compact"/>
              <w:jc w:val="left"/>
            </w:pPr>
            <w:r>
              <w:t xml:space="preserve">Cat. 4: Upstream Transportation</w:t>
            </w:r>
          </w:p>
        </w:tc>
        <w:tc>
          <w:tcPr/>
          <w:p>
            <w:pPr>
              <w:pStyle w:val="Compact"/>
              <w:jc w:val="left"/>
            </w:pPr>
            <w:r>
              <w:t xml:space="preserve">0.12</w:t>
            </w:r>
          </w:p>
        </w:tc>
        <w:tc>
          <w:tcPr/>
          <w:p>
            <w:pPr>
              <w:pStyle w:val="Compact"/>
              <w:jc w:val="left"/>
            </w:pPr>
            <w:r>
              <w:t xml:space="preserve">Ocean freight from Europe to China.</w:t>
            </w:r>
          </w:p>
        </w:tc>
      </w:tr>
      <w:tr>
        <w:tc>
          <w:tcPr/>
          <w:p>
            <w:pPr>
              <w:pStyle w:val="Compact"/>
              <w:jc w:val="left"/>
            </w:pPr>
            <w:r>
              <w:rPr>
                <w:bCs/>
                <w:b/>
              </w:rPr>
              <w:t xml:space="preserve">Outbound Transport (Scope 3)</w:t>
            </w:r>
          </w:p>
        </w:tc>
        <w:tc>
          <w:tcPr/>
          <w:p>
            <w:pPr>
              <w:pStyle w:val="Compact"/>
              <w:jc w:val="left"/>
            </w:pPr>
            <w:r>
              <w:t xml:space="preserve">Cat. 9: Downstream Transportation</w:t>
            </w:r>
          </w:p>
        </w:tc>
        <w:tc>
          <w:tcPr/>
          <w:p>
            <w:pPr>
              <w:pStyle w:val="Compact"/>
              <w:jc w:val="left"/>
            </w:pPr>
            <w:r>
              <w:t xml:space="preserve">0.04</w:t>
            </w:r>
          </w:p>
        </w:tc>
        <w:tc>
          <w:tcPr/>
          <w:p>
            <w:pPr>
              <w:pStyle w:val="Compact"/>
              <w:jc w:val="left"/>
            </w:pPr>
            <w:r>
              <w:t xml:space="preserve">Last-mile delivery to consumer.</w:t>
            </w:r>
          </w:p>
        </w:tc>
      </w:tr>
      <w:tr>
        <w:tc>
          <w:tcPr/>
          <w:p>
            <w:pPr>
              <w:pStyle w:val="Compact"/>
              <w:jc w:val="left"/>
            </w:pPr>
            <w:r>
              <w:rPr>
                <w:bCs/>
                <w:b/>
              </w:rPr>
              <w:t xml:space="preserve">Use Phase (Scope 3)</w:t>
            </w:r>
          </w:p>
        </w:tc>
        <w:tc>
          <w:tcPr/>
          <w:p>
            <w:pPr>
              <w:pStyle w:val="Compact"/>
              <w:jc w:val="left"/>
            </w:pPr>
            <w:r>
              <w:t xml:space="preserve">Cat. 11: Use of Sold Products</w:t>
            </w:r>
          </w:p>
        </w:tc>
        <w:tc>
          <w:tcPr/>
          <w:p>
            <w:pPr>
              <w:pStyle w:val="Compact"/>
              <w:jc w:val="left"/>
            </w:pPr>
            <w:r>
              <w:t xml:space="preserve">40.00</w:t>
            </w:r>
          </w:p>
        </w:tc>
        <w:tc>
          <w:tcPr/>
          <w:p>
            <w:pPr>
              <w:pStyle w:val="Compact"/>
              <w:jc w:val="left"/>
            </w:pPr>
            <w:r>
              <w:t xml:space="preserve">Energy consumption over product lifespan.</w:t>
            </w:r>
          </w:p>
        </w:tc>
      </w:tr>
      <w:tr>
        <w:tc>
          <w:tcPr/>
          <w:p>
            <w:pPr>
              <w:pStyle w:val="Compact"/>
              <w:jc w:val="left"/>
            </w:pPr>
            <w:r>
              <w:rPr>
                <w:bCs/>
                <w:b/>
              </w:rPr>
              <w:t xml:space="preserve">End-of-Life (Scope 3)</w:t>
            </w:r>
          </w:p>
        </w:tc>
        <w:tc>
          <w:tcPr/>
          <w:p>
            <w:pPr>
              <w:pStyle w:val="Compact"/>
              <w:jc w:val="left"/>
            </w:pPr>
            <w:r>
              <w:t xml:space="preserve">Cat. 12: End-of-Life Treatment</w:t>
            </w:r>
          </w:p>
        </w:tc>
        <w:tc>
          <w:tcPr/>
          <w:p>
            <w:pPr>
              <w:pStyle w:val="Compact"/>
              <w:jc w:val="left"/>
            </w:pPr>
            <w:r>
              <w:t xml:space="preserve">-1.045</w:t>
            </w:r>
          </w:p>
        </w:tc>
        <w:tc>
          <w:tcPr/>
          <w:p>
            <w:pPr>
              <w:pStyle w:val="Compact"/>
              <w:jc w:val="left"/>
            </w:pPr>
            <w:r>
              <w:t xml:space="preserve">Net impact, considering recycling benefits and disposal emissions.</w:t>
            </w:r>
          </w:p>
        </w:tc>
      </w:tr>
      <w:tr>
        <w:tc>
          <w:tcPr>
            <w:gridSpan w:val="3"/>
          </w:tcPr>
          <w:p>
            <w:pPr>
              <w:pStyle w:val="Compact"/>
              <w:jc w:val="right"/>
            </w:pPr>
            <w:r>
              <w:t xml:space="preserve">Total Product Carbon Footprint:</w:t>
            </w:r>
          </w:p>
        </w:tc>
        <w:tc>
          <w:tcPr/>
          <w:p>
            <w:pPr>
              <w:pStyle w:val="Compact"/>
              <w:jc w:val="left"/>
            </w:pPr>
            <w:r>
              <w:t xml:space="preserve">44.125</w:t>
            </w:r>
          </w:p>
        </w:tc>
      </w:tr>
    </w:tbl>
    <w:bookmarkEnd w:id="33"/>
    <w:bookmarkStart w:id="34" w:name="ghg-protocol-2026-lsr-update-application"/>
    <w:p>
      <w:pPr>
        <w:pStyle w:val="Heading3"/>
      </w:pPr>
      <w:r>
        <w:t xml:space="preserve">GHG Protocol 2026 LSR Update Application</w:t>
      </w:r>
    </w:p>
    <w:p>
      <w:pPr>
        <w:pStyle w:val="FirstParagraph"/>
      </w:pPr>
      <w:r>
        <w:t xml:space="preserve">The Land Sector and Removals (LSR) Standard (2026 update) is designed to provide comprehensive guidance on accounting for GHG emissions and removals from land use, land-use change, and forestry. For vhfqtfgyfr, the direct application of LSR would typically involve assessing the land-use impact of raw material extraction (e.g., agriculture, forestry, mining operations). In this report, while specific land-use data for each BOM item is beyond the scope of this general input, the commitment to applying LSR means that:</w:t>
      </w:r>
    </w:p>
    <w:p>
      <w:pPr>
        <w:numPr>
          <w:ilvl w:val="0"/>
          <w:numId w:val="1013"/>
        </w:numPr>
        <w:pStyle w:val="Compact"/>
      </w:pPr>
      <w:r>
        <w:t xml:space="preserve">Future data collection efforts will prioritize tracing materials back to their land-use origins to quantify associated emissions or removals.</w:t>
      </w:r>
    </w:p>
    <w:p>
      <w:pPr>
        <w:numPr>
          <w:ilvl w:val="0"/>
          <w:numId w:val="1013"/>
        </w:numPr>
        <w:pStyle w:val="Compact"/>
      </w:pPr>
      <w:r>
        <w:t xml:space="preserve">Any bio-based materials will be scrutinized for sustainable sourcing certifications and potential carbon sequestration benefits, which would be accounted for as removals under LSR.</w:t>
      </w:r>
    </w:p>
    <w:p>
      <w:pPr>
        <w:numPr>
          <w:ilvl w:val="0"/>
          <w:numId w:val="1013"/>
        </w:numPr>
        <w:pStyle w:val="Compact"/>
      </w:pPr>
      <w:r>
        <w:t xml:space="preserve">The reporting framework acknowledges the importance of biogenic carbon and ensuring transparent accounting of all land-based emissions and removals in accordance with the new standard.</w:t>
      </w:r>
    </w:p>
    <w:bookmarkEnd w:id="34"/>
    <w:bookmarkStart w:id="35" w:name="scope-3-compliance-95-coverage"/>
    <w:p>
      <w:pPr>
        <w:pStyle w:val="Heading3"/>
      </w:pPr>
      <w:r>
        <w:t xml:space="preserve">Scope 3 Compliance (95% Coverage)</w:t>
      </w:r>
    </w:p>
    <w:p>
      <w:pPr>
        <w:pStyle w:val="FirstParagraph"/>
      </w:pPr>
      <w:r>
        <w:t xml:space="preserve">As per 2026 requirements, this analysis aims for at least 95% coverage for Scope 3 reporting. By including all significant upstream (materials, inbound transport) and downstream (outbound transport, use phase, end-of-life) categories, the analysis provides a comprehensive view of the product\'s value chain emissions. The breakdown clearly shows that categories such as Purchased Goods &amp; Services and Use of Sold Products represent the largest portions, indicating a strong coverage of the most material Scope 3 sources.</w:t>
      </w:r>
    </w:p>
    <w:p>
      <w:r>
        <w:pict>
          <v:rect style="width:0;height:1.5pt" o:hralign="center" o:hrstd="t" o:hr="t"/>
        </w:pict>
      </w:r>
    </w:p>
    <w:bookmarkEnd w:id="35"/>
    <w:bookmarkEnd w:id="36"/>
    <w:bookmarkStart w:id="40" w:name="review-report-hotspots-and-reliability"/>
    <w:p>
      <w:pPr>
        <w:pStyle w:val="Heading2"/>
      </w:pPr>
      <w:r>
        <w:t xml:space="preserve">5. Review &amp; Report: Hotspots and Reliability</w:t>
      </w:r>
    </w:p>
    <w:bookmarkStart w:id="37" w:name="emission-hotspots"/>
    <w:p>
      <w:pPr>
        <w:pStyle w:val="Heading3"/>
      </w:pPr>
      <w:r>
        <w:t xml:space="preserve">Emission Hotspots</w:t>
      </w:r>
    </w:p>
    <w:p>
      <w:pPr>
        <w:pStyle w:val="FirstParagraph"/>
      </w:pPr>
      <w:r>
        <w:t xml:space="preserve">Based on the calculations, the primary emission hotspots for vhfqtfgyfr are:</w:t>
      </w:r>
    </w:p>
    <w:p>
      <w:pPr>
        <w:numPr>
          <w:ilvl w:val="0"/>
          <w:numId w:val="1014"/>
        </w:numPr>
        <w:pStyle w:val="Compact"/>
      </w:pPr>
      <w:r>
        <w:rPr>
          <w:bCs/>
          <w:b/>
        </w:rPr>
        <w:t xml:space="preserve">Use Phase (40.00 kgCO2e):</w:t>
      </w:r>
      <w:r>
        <w:t xml:space="preserve"> </w:t>
      </w:r>
      <w:r>
        <w:t xml:space="preserve">This is overwhelmingly the largest contributor, accounting for approximately 90.6% of the total PCF. The energy consumption during the product\'s lifespan, even with an assumed average grid mix, drives this impact. This highlights a critical area for design intervention (energy efficiency, longer lifespan without increased consumption) and user education on renewable energy use.</w:t>
      </w:r>
    </w:p>
    <w:p>
      <w:pPr>
        <w:numPr>
          <w:ilvl w:val="0"/>
          <w:numId w:val="1014"/>
        </w:numPr>
        <w:pStyle w:val="Compact"/>
      </w:pPr>
      <w:r>
        <w:rPr>
          <w:bCs/>
          <w:b/>
        </w:rPr>
        <w:t xml:space="preserve">Materials (3.50 kgCO2e):</w:t>
      </w:r>
      <w:r>
        <w:t xml:space="preserve"> </w:t>
      </w:r>
      <w:r>
        <w:t xml:space="preserve">Constituting about 7.9% of the total, the embodied carbon in raw materials is the second most significant hotspot. Focusing on lighter materials, recycled content, and materials with lower inherent emission factors will be crucial for reduction.</w:t>
      </w:r>
    </w:p>
    <w:p>
      <w:pPr>
        <w:numPr>
          <w:ilvl w:val="0"/>
          <w:numId w:val="1014"/>
        </w:numPr>
        <w:pStyle w:val="Compact"/>
      </w:pPr>
      <w:r>
        <w:rPr>
          <w:bCs/>
          <w:b/>
        </w:rPr>
        <w:t xml:space="preserve">Manufacturing (Scope 2) (1.50 kgCO2e):</w:t>
      </w:r>
      <w:r>
        <w:t xml:space="preserve"> </w:t>
      </w:r>
      <w:r>
        <w:t xml:space="preserve">While smaller than the use phase, this represents 3.4% of the total. Increasing the share of renewable energy beyond 75% for production in China would directly reduce this impact.</w:t>
      </w:r>
    </w:p>
    <w:bookmarkEnd w:id="37"/>
    <w:bookmarkStart w:id="38" w:name="reliability-and-limitations"/>
    <w:p>
      <w:pPr>
        <w:pStyle w:val="Heading3"/>
      </w:pPr>
      <w:r>
        <w:t xml:space="preserve">Reliability and Limitations</w:t>
      </w:r>
    </w:p>
    <w:p>
      <w:pPr>
        <w:pStyle w:val="FirstParagraph"/>
      </w:pPr>
      <w:r>
        <w:t xml:space="preserve">The reliability of this PCF analysis is contingent upon the accuracy and completeness of the input data. Key considerations include:</w:t>
      </w:r>
    </w:p>
    <w:p>
      <w:pPr>
        <w:numPr>
          <w:ilvl w:val="0"/>
          <w:numId w:val="1015"/>
        </w:numPr>
        <w:pStyle w:val="Compact"/>
      </w:pPr>
      <w:r>
        <w:rPr>
          <w:bCs/>
          <w:b/>
        </w:rPr>
        <w:t xml:space="preserve">Assumed Data:</w:t>
      </w:r>
      <w:r>
        <w:t xml:space="preserve"> </w:t>
      </w:r>
      <w:r>
        <w:t xml:space="preserve">As several parameters (BOM, transport distances, energy usage, lifespan, recyclability, circular programs) were provided as generic strings, specific numerical values were assumed for illustrative calculation. Real-world data would significantly enhance accuracy.</w:t>
      </w:r>
    </w:p>
    <w:p>
      <w:pPr>
        <w:numPr>
          <w:ilvl w:val="0"/>
          <w:numId w:val="1015"/>
        </w:numPr>
        <w:pStyle w:val="Compact"/>
      </w:pPr>
      <w:r>
        <w:rPr>
          <w:bCs/>
          <w:b/>
        </w:rPr>
        <w:t xml:space="preserve">Emission Factors:</w:t>
      </w:r>
      <w:r>
        <w:t xml:space="preserve"> </w:t>
      </w:r>
      <w:r>
        <w:t xml:space="preserve">Industry-standard emission factors (e.g., Ecoinvent/DEFRA equivalents) were used, providing a robust basis. However, product-specific or supplier-specific emission factors would offer greater precision.</w:t>
      </w:r>
    </w:p>
    <w:p>
      <w:pPr>
        <w:numPr>
          <w:ilvl w:val="0"/>
          <w:numId w:val="1015"/>
        </w:numPr>
        <w:pStyle w:val="Compact"/>
      </w:pPr>
      <w:r>
        <w:rPr>
          <w:bCs/>
          <w:b/>
        </w:rPr>
        <w:t xml:space="preserve">System Boundary:</w:t>
      </w:r>
      <w:r>
        <w:t xml:space="preserve"> </w:t>
      </w:r>
      <w:r>
        <w:t xml:space="preserve">The "factory_gate" boundary for the core product combined with a comprehensive Scope 3 analysis provides a good lifecycle overview. Minor Scope 3 categories (e.g., business travel, employee commuting) were not quantified but would fall under the 95% coverage principle for corporate GHG inventories rather than product-level.</w:t>
      </w:r>
    </w:p>
    <w:p>
      <w:pPr>
        <w:numPr>
          <w:ilvl w:val="0"/>
          <w:numId w:val="1015"/>
        </w:numPr>
        <w:pStyle w:val="Compact"/>
      </w:pPr>
      <w:r>
        <w:rPr>
          <w:bCs/>
          <w:b/>
        </w:rPr>
        <w:t xml:space="preserve">LSR Standard:</w:t>
      </w:r>
      <w:r>
        <w:t xml:space="preserve"> </w:t>
      </w:r>
      <w:r>
        <w:t xml:space="preserve">While the principles of the 2026 LSR Update are acknowledged, detailed quantification of land-use emissions and removals would require specific land-use data for raw material sourcing, which was not available for this analysis.</w:t>
      </w:r>
    </w:p>
    <w:bookmarkEnd w:id="38"/>
    <w:bookmarkStart w:id="39" w:name="recommendations-for-zyyhxhndjg"/>
    <w:p>
      <w:pPr>
        <w:pStyle w:val="Heading3"/>
      </w:pPr>
      <w:r>
        <w:t xml:space="preserve">Recommendations for zyyhxhndjg</w:t>
      </w:r>
    </w:p>
    <w:p>
      <w:pPr>
        <w:numPr>
          <w:ilvl w:val="0"/>
          <w:numId w:val="1016"/>
        </w:numPr>
        <w:pStyle w:val="Compact"/>
      </w:pPr>
      <w:r>
        <w:rPr>
          <w:bCs/>
          <w:b/>
        </w:rPr>
        <w:t xml:space="preserve">Prioritize Use Phase Optimization:</w:t>
      </w:r>
      <w:r>
        <w:t xml:space="preserve"> </w:t>
      </w:r>
      <w:r>
        <w:t xml:space="preserve">Invest in R&amp;D for energy-efficient design, explore low-power modes, and educate consumers on sustainable usage and potential for renewable energy at the point of use.</w:t>
      </w:r>
    </w:p>
    <w:p>
      <w:pPr>
        <w:numPr>
          <w:ilvl w:val="0"/>
          <w:numId w:val="1016"/>
        </w:numPr>
        <w:pStyle w:val="Compact"/>
      </w:pPr>
      <w:r>
        <w:rPr>
          <w:bCs/>
          <w:b/>
        </w:rPr>
        <w:t xml:space="preserve">Material Decarbonization:</w:t>
      </w:r>
      <w:r>
        <w:t xml:space="preserve"> </w:t>
      </w:r>
      <w:r>
        <w:t xml:space="preserve">Explore alternative materials with lower embodied carbon, increase recycled content beyond current levels, and collaborate with suppliers to improve their decarbonization efforts.</w:t>
      </w:r>
    </w:p>
    <w:p>
      <w:pPr>
        <w:numPr>
          <w:ilvl w:val="0"/>
          <w:numId w:val="1016"/>
        </w:numPr>
        <w:pStyle w:val="Compact"/>
      </w:pPr>
      <w:r>
        <w:rPr>
          <w:bCs/>
          <w:b/>
        </w:rPr>
        <w:t xml:space="preserve">Enhance Renewable Energy Adoption:</w:t>
      </w:r>
      <w:r>
        <w:t xml:space="preserve"> </w:t>
      </w:r>
      <w:r>
        <w:t xml:space="preserve">Increase the percentage of renewable energy used in manufacturing operations in China, potentially through on-site generation or renewable energy procurement agreements.</w:t>
      </w:r>
    </w:p>
    <w:p>
      <w:pPr>
        <w:numPr>
          <w:ilvl w:val="0"/>
          <w:numId w:val="1016"/>
        </w:numPr>
        <w:pStyle w:val="Compact"/>
      </w:pPr>
      <w:r>
        <w:rPr>
          <w:bCs/>
          <w:b/>
        </w:rPr>
        <w:t xml:space="preserve">Strengthen Circularity:</w:t>
      </w:r>
      <w:r>
        <w:t xml:space="preserve"> </w:t>
      </w:r>
      <w:r>
        <w:t xml:space="preserve">Leverage the "Established take-back program for key components" (vuoltjgonx) to maximize material recovery and reuse, potentially aiming for a higher recyclability percentage than the assumed 80%.</w:t>
      </w:r>
    </w:p>
    <w:p>
      <w:pPr>
        <w:numPr>
          <w:ilvl w:val="0"/>
          <w:numId w:val="1016"/>
        </w:numPr>
        <w:pStyle w:val="Compact"/>
      </w:pPr>
      <w:r>
        <w:rPr>
          <w:bCs/>
          <w:b/>
        </w:rPr>
        <w:t xml:space="preserve">Data Refinement:</w:t>
      </w:r>
      <w:r>
        <w:t xml:space="preserve"> </w:t>
      </w:r>
      <w:r>
        <w:t xml:space="preserve">Implement robust systems for collecting primary data for all BOM items, precise transport routes, and actual energy consumption profiles across different geographic regions for greater accuracy in future analyses.</w:t>
      </w:r>
    </w:p>
    <w:p>
      <w:r>
        <w:pict>
          <v:rect style="width:0;height:1.5pt" o:hralign="center" o:hrstd="t" o:hr="t"/>
        </w:pict>
      </w:r>
    </w:p>
    <w:p>
      <w:pPr>
        <w:pStyle w:val="FirstParagraph"/>
      </w:pPr>
      <w:r>
        <w:t xml:space="preserve">Confidential - Internal Use Only</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vhfqtfgyfr</dc:title>
  <dc:creator/>
  <dc:description>Detailed Product Carbon Footprint (PCF) analysis report for product vhfqtfgyfr, conducted by Senior Sustainability Consultant tsgssgzrjy for zyyhxhndjg, adhering to GHG Protocol and 2026 LSR Update.</dc:description>
  <dc:language>en</dc:language>
  <cp:keywords/>
  <dcterms:created xsi:type="dcterms:W3CDTF">2026-05-30T22:07:07Z</dcterms:created>
  <dcterms:modified xsi:type="dcterms:W3CDTF">2026-05-30T22:07:07Z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