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vgkldljlul</w:t>
      </w:r>
    </w:p>
    <w:p>
      <w:pPr>
        <w:pStyle w:val="FirstParagraph"/>
      </w:pPr>
      <w:r>
        <w:t xml:space="preserve">carboncalcpcf.com</w:t>
      </w:r>
    </w:p>
    <w:bookmarkStart w:id="21" w:name="product-carbon-footprint-report"/>
    <w:p>
      <w:pPr>
        <w:pStyle w:val="Heading1"/>
      </w:pPr>
      <w:r>
        <w:t xml:space="preserve">Product Carbon Footprint Report</w:t>
      </w:r>
    </w:p>
    <w:bookmarkStart w:id="20" w:name="for-vgkldljlul"/>
    <w:p>
      <w:pPr>
        <w:pStyle w:val="Heading2"/>
      </w:pPr>
      <w:r>
        <w:t xml:space="preserve">for vgkldljlul</w:t>
      </w:r>
    </w:p>
    <w:p>
      <w:pPr>
        <w:pStyle w:val="FirstParagraph"/>
      </w:pPr>
      <w:r>
        <w:rPr>
          <w:bCs/>
          <w:b/>
        </w:rPr>
        <w:t xml:space="preserve">Company Name:</w:t>
      </w:r>
      <w:r>
        <w:t xml:space="preserve"> </w:t>
      </w:r>
      <w:r>
        <w:t xml:space="preserve">rrfsrgungd</w:t>
      </w:r>
    </w:p>
    <w:p>
      <w:pPr>
        <w:pStyle w:val="BodyText"/>
      </w:pPr>
      <w:r>
        <w:rPr>
          <w:bCs/>
          <w:b/>
        </w:rPr>
        <w:t xml:space="preserve">Senior Sustainability Consultant:</w:t>
      </w:r>
      <w:r>
        <w:t xml:space="preserve"> </w:t>
      </w:r>
      <w:r>
        <w:t xml:space="preserve">mdylqsuhsm</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w:t>
      </w:r>
      <w:r>
        <w:t xml:space="preserve"> </w:t>
      </w:r>
      <w:r>
        <w:t xml:space="preserve">The accuracy of the results is dependent on the completeness and reliability</w:t>
      </w:r>
      <w:r>
        <w:t xml:space="preserve"> </w:t>
      </w:r>
      <w:r>
        <w:t xml:space="preserve">of the provided input parameters and the emission factors used.</w:t>
      </w:r>
    </w:p>
    <w:bookmarkEnd w:id="20"/>
    <w:bookmarkEnd w:id="21"/>
    <w:bookmarkStart w:id="22" w:name="Xb2ac015dabdfc5080fa2b3f19c686a82e91f561"/>
    <w:p>
      <w:pPr>
        <w:pStyle w:val="Heading1"/>
      </w:pPr>
      <w:r>
        <w:t xml:space="preserve">Product Carbon Footprint Report: vgkldljlul</w:t>
      </w:r>
    </w:p>
    <w:p>
      <w:pPr>
        <w:pStyle w:val="FirstParagraph"/>
      </w:pPr>
      <w:r>
        <w:rPr>
          <w:bCs/>
          <w:b/>
        </w:rPr>
        <w:t xml:space="preserve">Generated Date:</w:t>
      </w:r>
      <w:r>
        <w:t xml:space="preserve"> </w:t>
      </w:r>
      <w:r>
        <w:t xml:space="preserve">May 18, 2026</w:t>
      </w:r>
    </w:p>
    <w:p>
      <w:pPr>
        <w:pStyle w:val="BodyText"/>
      </w:pPr>
      <w:r>
        <w:rPr>
          <w:bCs/>
          <w:b/>
        </w:rPr>
        <w:t xml:space="preserve">Prepared by:</w:t>
      </w:r>
      <w:r>
        <w:t xml:space="preserve"> </w:t>
      </w:r>
      <w:r>
        <w:t xml:space="preserve">mdylqsuhsm, Senior Sustainability Consultant</w:t>
      </w:r>
    </w:p>
    <w:p>
      <w:pPr>
        <w:pStyle w:val="BodyText"/>
      </w:pPr>
      <w:r>
        <w:rPr>
          <w:bCs/>
          <w:b/>
        </w:rPr>
        <w:t xml:space="preserve">For:</w:t>
      </w:r>
      <w:r>
        <w:t xml:space="preserve"> </w:t>
      </w:r>
      <w:r>
        <w:t xml:space="preserve">rrfsrgungd</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document presents a high-detail Product Carbon Footprint (PCF) analysis for vgkldljlul, manufactured by rrfsrgungd.</w:t>
      </w:r>
      <w:r>
        <w:t xml:space="preserve"> </w:t>
      </w:r>
      <w:r>
        <w:t xml:space="preserve">The analysis adheres to the Greenhouse Gas (GHG) Protocol, with a specific focus on 2026 Land Sector and Removals (LSR)</w:t>
      </w:r>
      <w:r>
        <w:t xml:space="preserve"> </w:t>
      </w:r>
      <w:r>
        <w:t xml:space="preserve">Standard updates and achieving comprehensive Scope 3 coverage. The primary goal is to quantify the total greenhouse gas</w:t>
      </w:r>
      <w:r>
        <w:t xml:space="preserve"> </w:t>
      </w:r>
      <w:r>
        <w:t xml:space="preserve">emissions associated with the product\'s lifecycle, identify key emission hotspots, and provide insights for</w:t>
      </w:r>
      <w:r>
        <w:t xml:space="preserve"> </w:t>
      </w:r>
      <w:r>
        <w:t xml:space="preserve">sustainability improvements. This report utilizes a \'factory_gate\' system boundary for primary calculations, with</w:t>
      </w:r>
      <w:r>
        <w:t xml:space="preserve"> </w:t>
      </w:r>
      <w:r>
        <w:t xml:space="preserve">extended considerations for the use and end-of-life phases, following a Europe-focused supply chain context and China as the</w:t>
      </w:r>
      <w:r>
        <w:t xml:space="preserve"> </w:t>
      </w:r>
      <w:r>
        <w:t xml:space="preserve">final production country.</w:t>
      </w:r>
    </w:p>
    <w:p>
      <w:r>
        <w:pict>
          <v:rect style="width:0;height:1.5pt" o:hralign="center" o:hrstd="t" o:hr="t"/>
        </w:pict>
      </w:r>
    </w:p>
    <w:bookmarkEnd w:id="23"/>
    <w:bookmarkStart w:id="29" w:name="methodology-and-scope-definition"/>
    <w:p>
      <w:pPr>
        <w:pStyle w:val="Heading2"/>
      </w:pPr>
      <w:r>
        <w:t xml:space="preserve">1. Methodology and Scope Definition</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vgkldljlul</w:t>
      </w:r>
      <w:r>
        <w:t xml:space="preserve">.</w:t>
      </w:r>
      <w:r>
        <w:t xml:space="preserve"> </w:t>
      </w:r>
      <w:r>
        <w:t xml:space="preserve">All emissions are calculated and presented relative to this unit, ensuring comparability and consistency.</w:t>
      </w:r>
    </w:p>
    <w:bookmarkEnd w:id="24"/>
    <w:bookmarkStart w:id="25" w:name="system-boundary"/>
    <w:p>
      <w:pPr>
        <w:pStyle w:val="Heading3"/>
      </w:pPr>
      <w:r>
        <w:t xml:space="preserve">1.2. System Boundary</w:t>
      </w:r>
    </w:p>
    <w:p>
      <w:pPr>
        <w:pStyle w:val="FirstParagraph"/>
      </w:pPr>
      <w:r>
        <w:t xml:space="preserve">The primary system boundary for the detailed calculation in this report is</w:t>
      </w:r>
      <w:r>
        <w:t xml:space="preserve"> </w:t>
      </w:r>
      <w:r>
        <w:rPr>
          <w:bCs/>
          <w:b/>
        </w:rPr>
        <w:t xml:space="preserve">\'factory_gate\'</w:t>
      </w:r>
      <w:r>
        <w:t xml:space="preserve">.</w:t>
      </w:r>
      <w:r>
        <w:t xml:space="preserve"> </w:t>
      </w:r>
      <w:r>
        <w:t xml:space="preserve">This includes emissions from raw material extraction, manufacturing of components, inbound logistics to the factory,</w:t>
      </w:r>
      <w:r>
        <w:t xml:space="preserve"> </w:t>
      </w:r>
      <w:r>
        <w:t xml:space="preserve">and the assembly processes within the factory.</w:t>
      </w:r>
      <w:r>
        <w:t xml:space="preserve"> </w:t>
      </w:r>
      <w:r>
        <w:t xml:space="preserve">However, for a comprehensive understanding as per GHG Protocol requirements and best practices,</w:t>
      </w:r>
      <w:r>
        <w:t xml:space="preserve"> </w:t>
      </w:r>
      <w:r>
        <w:t xml:space="preserve">emissions from the \'Use Phase\' and \'End-of-Life\' scenarios are also considered and quantified separately to</w:t>
      </w:r>
      <w:r>
        <w:t xml:space="preserve"> </w:t>
      </w:r>
      <w:r>
        <w:t xml:space="preserve">provide a fuller picture of the product\'s environmental impact across its entire lifecycle.</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t xml:space="preserve">This geographic scope guides the selection of regionalized emission factors where available, particularly for energy grids and transportation.</w:t>
      </w:r>
    </w:p>
    <w:bookmarkEnd w:id="26"/>
    <w:bookmarkStart w:id="27" w:name="accounting-standard"/>
    <w:p>
      <w:pPr>
        <w:pStyle w:val="Heading3"/>
      </w:pPr>
      <w:r>
        <w:t xml:space="preserve">1.4. Accounting Standard</w:t>
      </w:r>
    </w:p>
    <w:p>
      <w:pPr>
        <w:pStyle w:val="FirstParagraph"/>
      </w:pPr>
      <w:r>
        <w:t xml:space="preserve">This Product Carbon Footprint analysis is conducted strictly in accordance with the</w:t>
      </w:r>
      <w:r>
        <w:t xml:space="preserve"> </w:t>
      </w:r>
      <w:r>
        <w:rPr>
          <w:bCs/>
          <w:b/>
        </w:rPr>
        <w:t xml:space="preserve">GHG Protocol Product Standard</w:t>
      </w:r>
      <w:r>
        <w:t xml:space="preserve">.</w:t>
      </w:r>
      <w:r>
        <w:t xml:space="preserve"> </w:t>
      </w:r>
      <w:r>
        <w:t xml:space="preserve">Emissions are categorized into Scope 1 (direct emissions), Scope 2 (indirect emissions from purchased energy), and</w:t>
      </w:r>
      <w:r>
        <w:t xml:space="preserve"> </w:t>
      </w:r>
      <w:r>
        <w:t xml:space="preserve">Scope 3 (all other indirect emissions within the value chain). Special attention has been paid to the</w:t>
      </w:r>
      <w:r>
        <w:t xml:space="preserve"> </w:t>
      </w:r>
      <w:r>
        <w:rPr>
          <w:bCs/>
          <w:b/>
        </w:rPr>
        <w:t xml:space="preserve">2026 Land Sector and Removals (LSR) Standard update</w:t>
      </w:r>
      <w:r>
        <w:t xml:space="preserve"> </w:t>
      </w:r>
      <w:r>
        <w:t xml:space="preserve">for land-use related emissions and removals,</w:t>
      </w:r>
      <w:r>
        <w:t xml:space="preserve"> </w:t>
      </w:r>
      <w:r>
        <w:t xml:space="preserve">and to ensure at least</w:t>
      </w:r>
      <w:r>
        <w:t xml:space="preserve"> </w:t>
      </w:r>
      <w:r>
        <w:rPr>
          <w:bCs/>
          <w:b/>
        </w:rPr>
        <w:t xml:space="preserve">95% coverage for Scope 3 reporting</w:t>
      </w:r>
      <w:r>
        <w:t xml:space="preserve">, aligning with anticipated 2026 requirements.</w:t>
      </w:r>
    </w:p>
    <w:bookmarkEnd w:id="27"/>
    <w:bookmarkStart w:id="28" w:name="allocation"/>
    <w:p>
      <w:pPr>
        <w:pStyle w:val="Heading3"/>
      </w:pPr>
      <w:r>
        <w:t xml:space="preserve">1.5. Allocation</w:t>
      </w:r>
    </w:p>
    <w:p>
      <w:pPr>
        <w:pStyle w:val="FirstParagraph"/>
      </w:pPr>
      <w:r>
        <w:t xml:space="preserve">For any shared processes or co-products, emissions have been allocated based on established GHG Protocol</w:t>
      </w:r>
      <w:r>
        <w:t xml:space="preserve"> </w:t>
      </w:r>
      <w:r>
        <w:t xml:space="preserve">guidance, primarily using mass-based or economic allocation principles where relevant. For a single product PCF,</w:t>
      </w:r>
      <w:r>
        <w:t xml:space="preserve"> </w:t>
      </w:r>
      <w:r>
        <w:t xml:space="preserve">direct attribution of emissions to the functional unit is prioritized.</w:t>
      </w:r>
    </w:p>
    <w:p>
      <w:r>
        <w:pict>
          <v:rect style="width:0;height:1.5pt" o:hralign="center" o:hrstd="t" o:hr="t"/>
        </w:pict>
      </w:r>
    </w:p>
    <w:bookmarkEnd w:id="28"/>
    <w:bookmarkEnd w:id="29"/>
    <w:bookmarkStart w:id="35" w:name="lifecycle-mapping-and-data-collection"/>
    <w:p>
      <w:pPr>
        <w:pStyle w:val="Heading2"/>
      </w:pPr>
      <w:r>
        <w:t xml:space="preserve">2. Lifecycle Mapping and Data Collection</w:t>
      </w:r>
    </w:p>
    <w:p>
      <w:pPr>
        <w:pStyle w:val="FirstParagraph"/>
      </w:pPr>
      <w:r>
        <w:t xml:space="preserve">The lifecycle of vgkldljlul is mapped across key stages, from raw material acquisition to end-of-life.</w:t>
      </w:r>
      <w:r>
        <w:t xml:space="preserve"> </w:t>
      </w:r>
      <w:r>
        <w:t xml:space="preserve">Data collection integrates primary data (where specified) and secondary industry-standard emission factors</w:t>
      </w:r>
      <w:r>
        <w:t xml:space="preserve"> </w:t>
      </w:r>
      <w:r>
        <w:t xml:space="preserve">from reputable databases such as Ecoinvent and DEFRA.</w:t>
      </w:r>
    </w:p>
    <w:bookmarkStart w:id="30" w:name="detailed-bill-of-materials-bom-analysis"/>
    <w:p>
      <w:pPr>
        <w:pStyle w:val="Heading3"/>
      </w:pPr>
      <w:r>
        <w:t xml:space="preserve">2.1. Detailed Bill of Materials (BOM) Analysis</w:t>
      </w:r>
    </w:p>
    <w:p>
      <w:pPr>
        <w:pStyle w:val="FirstParagraph"/>
      </w:pPr>
      <w:r>
        <w:t xml:space="preserve">The material impact of vgkldljlul is calculated using the provided Detailed Bill of Materials (BOM).</w:t>
      </w:r>
      <w:r>
        <w:t xml:space="preserve"> </w:t>
      </w:r>
      <w:r>
        <w:t xml:space="preserve">For the purpose of this demonstration, the placeholder \'gloqmjgs\' has been interpreted as the following</w:t>
      </w:r>
      <w:r>
        <w:t xml:space="preserve"> </w:t>
      </w:r>
      <w:r>
        <w:t xml:space="preserve">representative BOM components and their associated emission data, ensuring high-accuracy material impact calculation</w:t>
      </w:r>
      <w:r>
        <w:t xml:space="preserve"> </w:t>
      </w:r>
      <w:r>
        <w:t xml:space="preserve">instead of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MTR-001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PLT-001</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ABS Granule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ELE-001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 (FR-4)</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SEM-001</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Wafer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BAT-001</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Li-ion Cell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1.50</w:t>
            </w:r>
          </w:p>
        </w:tc>
      </w:tr>
    </w:tbl>
    <w:p>
      <w:pPr>
        <w:pStyle w:val="BodyText"/>
      </w:pPr>
      <w:r>
        <w:rPr>
          <w:iCs/>
          <w:i/>
        </w:rPr>
        <w:t xml:space="preserve">Note: The "Emission Factor" and "Total Carbon" values in this table are illustrative and derived from</w:t>
      </w:r>
      <w:r>
        <w:rPr>
          <w:iCs/>
          <w:i/>
        </w:rPr>
        <w:t xml:space="preserve"> </w:t>
      </w:r>
      <w:r>
        <w:rPr>
          <w:iCs/>
          <w:i/>
        </w:rPr>
        <w:t xml:space="preserve">commonly referenced industry averages (e.g., Ecoinvent, DEFRA) for demonstration [cite: 18, 27 (Aluminum), 15, 25, 46 (ABS), 36, 38, 41 (PCB), 34, 48, 50, 51 (Silicon), 12, 13, 17, 21, 22 (Li-ion Battery)]. In a live report, these</w:t>
      </w:r>
      <w:r>
        <w:rPr>
          <w:iCs/>
          <w:i/>
        </w:rPr>
        <w:t xml:space="preserve"> </w:t>
      </w:r>
      <w:r>
        <w:rPr>
          <w:iCs/>
          <w:i/>
        </w:rPr>
        <w:t xml:space="preserve">would be precise values from the \'gloqmjgs\' BOM data.</w:t>
      </w:r>
    </w:p>
    <w:bookmarkEnd w:id="30"/>
    <w:bookmarkStart w:id="31" w:name="logistics-data"/>
    <w:p>
      <w:pPr>
        <w:pStyle w:val="Heading3"/>
      </w:pPr>
      <w:r>
        <w:t xml:space="preserve">2.2. Logistics Data</w:t>
      </w:r>
    </w:p>
    <w:p>
      <w:pPr>
        <w:pStyle w:val="FirstParagraph"/>
      </w:pPr>
      <w:r>
        <w:t xml:space="preserve">The supply chain analysis incorporates specific logistics data to accurately reflect transport emissions.</w:t>
      </w:r>
    </w:p>
    <w:p>
      <w:pPr>
        <w:numPr>
          <w:ilvl w:val="0"/>
          <w:numId w:val="1002"/>
        </w:numPr>
        <w:pStyle w:val="Compact"/>
      </w:pPr>
      <w:r>
        <w:rPr>
          <w:bCs/>
          <w:b/>
        </w:rPr>
        <w:t xml:space="preserve">Transport Mode (Inbound &amp; Outbound to Europe):</w:t>
      </w:r>
      <w:r>
        <w:t xml:space="preserve"> </w:t>
      </w:r>
      <w:r>
        <w:t xml:space="preserve">Placeholder \'Select Mode\' is interpreted as</w:t>
      </w:r>
      <w:r>
        <w:t xml:space="preserve"> </w:t>
      </w:r>
      <w:r>
        <w:rPr>
          <w:bCs/>
          <w:b/>
        </w:rPr>
        <w:t xml:space="preserve">Road Freight (Heavy Duty Truck)</w:t>
      </w:r>
      <w:r>
        <w:t xml:space="preserve"> </w:t>
      </w:r>
      <w:r>
        <w:t xml:space="preserve">for upstream components and distribution within Europe, and</w:t>
      </w:r>
      <w:r>
        <w:t xml:space="preserve"> </w:t>
      </w:r>
      <w:r>
        <w:rPr>
          <w:bCs/>
          <w:b/>
        </w:rPr>
        <w:t xml:space="preserve">Ocean Freight</w:t>
      </w:r>
      <w:r>
        <w:t xml:space="preserve"> </w:t>
      </w:r>
      <w:r>
        <w:t xml:space="preserve">for bulk transport from China to Europe.</w:t>
      </w:r>
    </w:p>
    <w:p>
      <w:pPr>
        <w:numPr>
          <w:ilvl w:val="0"/>
          <w:numId w:val="1002"/>
        </w:numPr>
        <w:pStyle w:val="Compact"/>
      </w:pPr>
      <w:r>
        <w:rPr>
          <w:bCs/>
          <w:b/>
        </w:rPr>
        <w:t xml:space="preserve">Transport Distance (Average):</w:t>
      </w:r>
      <w:r>
        <w:t xml:space="preserve"> </w:t>
      </w:r>
      <w:r>
        <w:t xml:space="preserve">Placeholder \'loknnxjujh\' is assumed to be</w:t>
      </w:r>
      <w:r>
        <w:t xml:space="preserve"> </w:t>
      </w:r>
      <w:r>
        <w:rPr>
          <w:bCs/>
          <w:b/>
        </w:rPr>
        <w:t xml:space="preserve">10,000 km for ocean freight</w:t>
      </w:r>
      <w:r>
        <w:t xml:space="preserve"> </w:t>
      </w:r>
      <w:r>
        <w:t xml:space="preserve">(China to Europe port) and</w:t>
      </w:r>
      <w:r>
        <w:t xml:space="preserve"> </w:t>
      </w:r>
      <w:r>
        <w:rPr>
          <w:bCs/>
          <w:b/>
        </w:rPr>
        <w:t xml:space="preserve">500 km for road freight</w:t>
      </w:r>
      <w:r>
        <w:t xml:space="preserve"> </w:t>
      </w:r>
      <w:r>
        <w:t xml:space="preserve">(within Europe/China for last mile and component delivery).</w:t>
      </w:r>
    </w:p>
    <w:p>
      <w:pPr>
        <w:numPr>
          <w:ilvl w:val="0"/>
          <w:numId w:val="1002"/>
        </w:numPr>
        <w:pStyle w:val="Compact"/>
      </w:pPr>
      <w:r>
        <w:rPr>
          <w:bCs/>
          <w:b/>
        </w:rPr>
        <w:t xml:space="preserve">Last-Mile Delivery Channel:</w:t>
      </w:r>
      <w:r>
        <w:t xml:space="preserve"> </w:t>
      </w:r>
      <w:r>
        <w:t xml:space="preserve">Placeholder \'Delivery Type\' is assumed to be</w:t>
      </w:r>
      <w:r>
        <w:t xml:space="preserve"> </w:t>
      </w:r>
      <w:r>
        <w:rPr>
          <w:bCs/>
          <w:b/>
        </w:rPr>
        <w:t xml:space="preserve">Courier Van (Diesel)</w:t>
      </w:r>
      <w:r>
        <w:t xml:space="preserve"> </w:t>
      </w:r>
      <w:r>
        <w:t xml:space="preserve">for distribution to end-customers.</w:t>
      </w:r>
    </w:p>
    <w:bookmarkEnd w:id="31"/>
    <w:bookmarkStart w:id="32" w:name="production-phase-energy-data"/>
    <w:p>
      <w:pPr>
        <w:pStyle w:val="Heading3"/>
      </w:pPr>
      <w:r>
        <w:t xml:space="preserve">2.3. Production Phase Energy Data</w:t>
      </w:r>
    </w:p>
    <w:p>
      <w:pPr>
        <w:pStyle w:val="FirstParagraph"/>
      </w:pPr>
      <w:r>
        <w:t xml:space="preserve">Energy consumption during the manufacturing process in the final production country (China) is a significant factor.</w:t>
      </w:r>
    </w:p>
    <w:p>
      <w:pPr>
        <w:numPr>
          <w:ilvl w:val="0"/>
          <w:numId w:val="1003"/>
        </w:numPr>
        <w:pStyle w:val="Compact"/>
      </w:pPr>
      <w:r>
        <w:rPr>
          <w:bCs/>
          <w:b/>
        </w:rPr>
        <w:t xml:space="preserve">Renewable Energy Usage:</w:t>
      </w:r>
      <w:r>
        <w:t xml:space="preserve"> </w:t>
      </w:r>
      <w:r>
        <w:t xml:space="preserve">Placeholder \'wdwjvgipgy\' is assumed to be</w:t>
      </w:r>
      <w:r>
        <w:t xml:space="preserve"> </w:t>
      </w:r>
      <w:r>
        <w:rPr>
          <w:bCs/>
          <w:b/>
        </w:rPr>
        <w:t xml:space="preserve">30%</w:t>
      </w:r>
      <w:r>
        <w:t xml:space="preserve">. This percentage is applied to the purchased electricity, reducing the grid electricity emissions.</w:t>
      </w:r>
    </w:p>
    <w:p>
      <w:pPr>
        <w:numPr>
          <w:ilvl w:val="0"/>
          <w:numId w:val="1003"/>
        </w:numPr>
        <w:pStyle w:val="Compact"/>
      </w:pPr>
      <w:r>
        <w:rPr>
          <w:bCs/>
          <w:b/>
        </w:rPr>
        <w:t xml:space="preserve">Energy Intensity (kWh/unit):</w:t>
      </w:r>
      <w:r>
        <w:t xml:space="preserve"> </w:t>
      </w:r>
      <w:r>
        <w:t xml:space="preserve">Placeholder \'fuqlefrwpr\' is assumed to be</w:t>
      </w:r>
      <w:r>
        <w:t xml:space="preserve"> </w:t>
      </w:r>
      <w:r>
        <w:rPr>
          <w:bCs/>
          <w:b/>
        </w:rPr>
        <w:t xml:space="preserve">5.0 kWh/unit</w:t>
      </w:r>
      <w:r>
        <w:t xml:space="preserve">. This represents the total energy required to manufacture one unit of vgkldljlul.</w:t>
      </w:r>
    </w:p>
    <w:bookmarkEnd w:id="32"/>
    <w:bookmarkStart w:id="33" w:name="use-phase-data"/>
    <w:p>
      <w:pPr>
        <w:pStyle w:val="Heading3"/>
      </w:pPr>
      <w:r>
        <w:t xml:space="preserve">2.4. Use Phase Data</w:t>
      </w:r>
    </w:p>
    <w:p>
      <w:pPr>
        <w:pStyle w:val="FirstParagraph"/>
      </w:pPr>
      <w:r>
        <w:t xml:space="preserve">The environmental impact during the product\'s operational life is crucial, especially for energy-consuming products.</w:t>
      </w:r>
    </w:p>
    <w:p>
      <w:pPr>
        <w:numPr>
          <w:ilvl w:val="0"/>
          <w:numId w:val="1004"/>
        </w:numPr>
        <w:pStyle w:val="Compact"/>
      </w:pPr>
      <w:r>
        <w:rPr>
          <w:bCs/>
          <w:b/>
        </w:rPr>
        <w:t xml:space="preserve">Product Lifespan:</w:t>
      </w:r>
      <w:r>
        <w:t xml:space="preserve"> </w:t>
      </w:r>
      <w:r>
        <w:t xml:space="preserve">Placeholder \'owxiiywhqp\' is assumed to be</w:t>
      </w:r>
      <w:r>
        <w:t xml:space="preserve"> </w:t>
      </w:r>
      <w:r>
        <w:rPr>
          <w:bCs/>
          <w:b/>
        </w:rPr>
        <w:t xml:space="preserve">5 years</w:t>
      </w:r>
      <w:r>
        <w:t xml:space="preserve">.</w:t>
      </w:r>
    </w:p>
    <w:p>
      <w:pPr>
        <w:numPr>
          <w:ilvl w:val="0"/>
          <w:numId w:val="1004"/>
        </w:numPr>
        <w:pStyle w:val="Compact"/>
      </w:pPr>
      <w:r>
        <w:rPr>
          <w:bCs/>
          <w:b/>
        </w:rPr>
        <w:t xml:space="preserve">Energy Consumption in Use:</w:t>
      </w:r>
      <w:r>
        <w:t xml:space="preserve"> </w:t>
      </w:r>
      <w:r>
        <w:t xml:space="preserve">Placeholder \'uwlvpdddhs\' is assumed to be</w:t>
      </w:r>
      <w:r>
        <w:t xml:space="preserve"> </w:t>
      </w:r>
      <w:r>
        <w:rPr>
          <w:bCs/>
          <w:b/>
        </w:rPr>
        <w:t xml:space="preserve">10 kWh/year</w:t>
      </w:r>
      <w:r>
        <w:t xml:space="preserve">. This reflects the average annual energy draw during its operational life.</w:t>
      </w:r>
    </w:p>
    <w:bookmarkEnd w:id="33"/>
    <w:bookmarkStart w:id="34" w:name="end-of-life-eol-scenarios"/>
    <w:p>
      <w:pPr>
        <w:pStyle w:val="Heading3"/>
      </w:pPr>
      <w:r>
        <w:t xml:space="preserve">2.5. End-of-Life (EoL) Scenarios</w:t>
      </w:r>
    </w:p>
    <w:p>
      <w:pPr>
        <w:pStyle w:val="FirstParagraph"/>
      </w:pPr>
      <w:r>
        <w:t xml:space="preserve">The end-of-life treatment significantly influences the overall PCF, particularly through circular economy initiatives.</w:t>
      </w:r>
    </w:p>
    <w:p>
      <w:pPr>
        <w:numPr>
          <w:ilvl w:val="0"/>
          <w:numId w:val="1005"/>
        </w:numPr>
        <w:pStyle w:val="Compact"/>
      </w:pPr>
      <w:r>
        <w:rPr>
          <w:bCs/>
          <w:b/>
        </w:rPr>
        <w:t xml:space="preserve">Recyclability Percentage:</w:t>
      </w:r>
      <w:r>
        <w:t xml:space="preserve"> </w:t>
      </w:r>
      <w:r>
        <w:t xml:space="preserve">Placeholder \'nsdendowui\' is assumed to be</w:t>
      </w:r>
      <w:r>
        <w:t xml:space="preserve"> </w:t>
      </w:r>
      <w:r>
        <w:rPr>
          <w:bCs/>
          <w:b/>
        </w:rPr>
        <w:t xml:space="preserve">70%</w:t>
      </w:r>
      <w:r>
        <w:t xml:space="preserve"> </w:t>
      </w:r>
      <w:r>
        <w:t xml:space="preserve">of the product\'s mass being collected for recycling.</w:t>
      </w:r>
    </w:p>
    <w:p>
      <w:pPr>
        <w:numPr>
          <w:ilvl w:val="0"/>
          <w:numId w:val="1005"/>
        </w:numPr>
        <w:pStyle w:val="Compact"/>
      </w:pPr>
      <w:r>
        <w:rPr>
          <w:bCs/>
          <w:b/>
        </w:rPr>
        <w:t xml:space="preserve">Circular/Take-back Programs:</w:t>
      </w:r>
      <w:r>
        <w:t xml:space="preserve"> </w:t>
      </w:r>
      <w:r>
        <w:t xml:space="preserve">Placeholder \'hguolxowxq\' is interpreted as the existence of a</w:t>
      </w:r>
      <w:r>
        <w:t xml:space="preserve"> </w:t>
      </w:r>
      <w:r>
        <w:rPr>
          <w:bCs/>
          <w:b/>
        </w:rPr>
        <w:t xml:space="preserve">Company-operated take-back program</w:t>
      </w:r>
      <w:r>
        <w:t xml:space="preserve">, which facilitates higher recycling rates and potentially material recovery for new products, further reducing virgin material demand.</w:t>
      </w:r>
    </w:p>
    <w:p>
      <w:r>
        <w:pict>
          <v:rect style="width:0;height:1.5pt" o:hralign="center" o:hrstd="t" o:hr="t"/>
        </w:pict>
      </w:r>
    </w:p>
    <w:bookmarkEnd w:id="34"/>
    <w:bookmarkEnd w:id="35"/>
    <w:bookmarkStart w:id="46" w:name="X439a6e6dcb43c636bf515ffaf3f59bce0bd6490"/>
    <w:p>
      <w:pPr>
        <w:pStyle w:val="Heading2"/>
      </w:pPr>
      <w:r>
        <w:t xml:space="preserve">3. Emission Calculation (Activity * Emission Factor = CO2e)</w:t>
      </w:r>
    </w:p>
    <w:p>
      <w:pPr>
        <w:pStyle w:val="FirstParagraph"/>
      </w:pPr>
      <w:r>
        <w:t xml:space="preserve">This section details the calculation of emissions across the product\'s lifecycle stages, categorized according to the GHG Protocol (Scope 1, 2, 3).</w:t>
      </w:r>
      <w:r>
        <w:t xml:space="preserve"> </w:t>
      </w:r>
      <w:r>
        <w:t xml:space="preserve">Emission factors are sourced from industry-standard databases, with specific values for China\'s energy grid and global transport where applicable.</w:t>
      </w:r>
    </w:p>
    <w:bookmarkStart w:id="36" w:name="X1b9cca2f0f6be06d372edd671cabd697f9593a2"/>
    <w:p>
      <w:pPr>
        <w:pStyle w:val="Heading3"/>
      </w:pPr>
      <w:r>
        <w:t xml:space="preserve">3.1. Assumptions for Emission Factors (Illustrative)</w:t>
      </w:r>
    </w:p>
    <w:p>
      <w:pPr>
        <w:numPr>
          <w:ilvl w:val="0"/>
          <w:numId w:val="1006"/>
        </w:numPr>
        <w:pStyle w:val="Compact"/>
      </w:pPr>
      <w:r>
        <w:t xml:space="preserve">Electricity Grid (China): 0.65 kgCO2e/kWh</w:t>
      </w:r>
    </w:p>
    <w:p>
      <w:pPr>
        <w:numPr>
          <w:ilvl w:val="0"/>
          <w:numId w:val="1006"/>
        </w:numPr>
        <w:pStyle w:val="Compact"/>
      </w:pPr>
      <w:r>
        <w:t xml:space="preserve">Road Freight (Heavy Duty Truck, Euro 6): 0.09 kgCO2e/tkm</w:t>
      </w:r>
    </w:p>
    <w:p>
      <w:pPr>
        <w:numPr>
          <w:ilvl w:val="0"/>
          <w:numId w:val="1006"/>
        </w:numPr>
        <w:pStyle w:val="Compact"/>
      </w:pPr>
      <w:r>
        <w:t xml:space="preserve">Ocean Freight (Container Ship): 0.01 kgCO2e/tkm</w:t>
      </w:r>
    </w:p>
    <w:p>
      <w:pPr>
        <w:numPr>
          <w:ilvl w:val="0"/>
          <w:numId w:val="1006"/>
        </w:numPr>
        <w:pStyle w:val="Compact"/>
      </w:pPr>
      <w:r>
        <w:t xml:space="preserve">Courier Van (Diesel, last-mile per package): 0.2 kgCO2e/unit (illustrative, derived from 0.21kg CO2e per 2kg package for 1000km road freight for a generic 2kg package)</w:t>
      </w:r>
    </w:p>
    <w:p>
      <w:pPr>
        <w:numPr>
          <w:ilvl w:val="0"/>
          <w:numId w:val="1006"/>
        </w:numPr>
        <w:pStyle w:val="Compact"/>
      </w:pPr>
      <w:r>
        <w:t xml:space="preserve">End-of-Life (Landfill/Incineration for non-recycled): 0.5 kgCO2e/kg (illustrative)</w:t>
      </w:r>
    </w:p>
    <w:p>
      <w:pPr>
        <w:numPr>
          <w:ilvl w:val="0"/>
          <w:numId w:val="1006"/>
        </w:numPr>
        <w:pStyle w:val="Compact"/>
      </w:pPr>
      <w:r>
        <w:t xml:space="preserve">Recycling Credit (average for various materials): -2.0 kgCO2e/kg (illustrative, reflecting avoided virgin material production)</w:t>
      </w:r>
    </w:p>
    <w:p>
      <w:pPr>
        <w:pStyle w:val="FirstParagraph"/>
      </w:pPr>
      <w:r>
        <w:rPr>
          <w:iCs/>
          <w:i/>
        </w:rPr>
        <w:t xml:space="preserve">Note: Specific citations would link to Ecoinvent, DEFRA, or other primary sources in a production report.</w:t>
      </w:r>
      <w:r>
        <w:rPr>
          <w:iCs/>
          <w:i/>
        </w:rPr>
        <w:t xml:space="preserve"> </w:t>
      </w:r>
      <w:r>
        <w:rPr>
          <w:iCs/>
          <w:i/>
        </w:rPr>
        <w:t xml:space="preserve">For this report, these factors are illustrative examples.</w:t>
      </w:r>
    </w:p>
    <w:bookmarkEnd w:id="36"/>
    <w:bookmarkStart w:id="37" w:name="scope-1-2-and-3-categorization"/>
    <w:p>
      <w:pPr>
        <w:pStyle w:val="Heading3"/>
      </w:pPr>
      <w:r>
        <w:t xml:space="preserve">3.2. Scope 1, 2, and 3 Categorization</w:t>
      </w:r>
    </w:p>
    <w:p>
      <w:pPr>
        <w:numPr>
          <w:ilvl w:val="0"/>
          <w:numId w:val="1007"/>
        </w:numPr>
        <w:pStyle w:val="Compact"/>
      </w:pPr>
      <w:r>
        <w:rPr>
          <w:bCs/>
          <w:b/>
        </w:rPr>
        <w:t xml:space="preserve">Scope 1: Direct Emissions</w:t>
      </w:r>
      <w:r>
        <w:t xml:space="preserve"> </w:t>
      </w:r>
      <w:r>
        <w:t xml:space="preserve">from owned or controlled sources (e.g., direct fuel combustion in factory operations, though none explicitly identified from \'parameters\').</w:t>
      </w:r>
    </w:p>
    <w:p>
      <w:pPr>
        <w:numPr>
          <w:ilvl w:val="0"/>
          <w:numId w:val="1007"/>
        </w:numPr>
        <w:pStyle w:val="Compact"/>
      </w:pPr>
      <w:r>
        <w:rPr>
          <w:bCs/>
          <w:b/>
        </w:rPr>
        <w:t xml:space="preserve">Scope 2: Indirect Emissions from Purchased Energy</w:t>
      </w:r>
      <w:r>
        <w:t xml:space="preserve"> </w:t>
      </w:r>
      <w:r>
        <w:t xml:space="preserve">(e.g., electricity consumed in manufacturing).</w:t>
      </w:r>
    </w:p>
    <w:p>
      <w:pPr>
        <w:numPr>
          <w:ilvl w:val="0"/>
          <w:numId w:val="1007"/>
        </w:numPr>
        <w:pStyle w:val="Compact"/>
      </w:pPr>
      <w:r>
        <w:rPr>
          <w:bCs/>
          <w:b/>
        </w:rPr>
        <w:t xml:space="preserve">Scope 3: All Other Indirect Emissions</w:t>
      </w:r>
      <w:r>
        <w:t xml:space="preserve"> </w:t>
      </w:r>
      <w:r>
        <w:t xml:space="preserve">(e.g., raw material production, transportation, product use, end-of-life treatment). This is typically the largest portion of a product\'s footprint.</w:t>
      </w:r>
    </w:p>
    <w:bookmarkEnd w:id="37"/>
    <w:bookmarkStart w:id="43" w:name="calculation-breakdown-by-lifecycle-stage"/>
    <w:p>
      <w:pPr>
        <w:pStyle w:val="Heading3"/>
      </w:pPr>
      <w:r>
        <w:t xml:space="preserve">3.3. Calculation Breakdown by Lifecycle Stage</w:t>
      </w:r>
    </w:p>
    <w:bookmarkStart w:id="38" w:name="Xa124a95b981c370289279a4b723120ad8e79cc2"/>
    <w:p>
      <w:pPr>
        <w:pStyle w:val="Heading4"/>
      </w:pPr>
      <w:r>
        <w:t xml:space="preserve">3.3.1. Materials Acquisition &amp; Pre-processing (Scope 3 - Upstream)</w:t>
      </w:r>
    </w:p>
    <w:p>
      <w:pPr>
        <w:pStyle w:val="FirstParagraph"/>
      </w:pPr>
      <w:r>
        <w:t xml:space="preserve">Emissions from the extraction and processing of raw materials are directly derived from the BOM.</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(kgCO2e/kg)</w:t>
            </w:r>
          </w:p>
        </w:tc>
        <w:tc>
          <w:tcPr/>
          <w:p>
            <w:pPr>
              <w:pStyle w:val="Compact"/>
              <w:jc w:val="left"/>
            </w:pPr>
            <w:r>
              <w:t xml:space="preserve">Total (kgCO2e/unit)</w:t>
            </w:r>
          </w:p>
        </w:tc>
        <w:tc>
          <w:tcPr/>
          <w:p>
            <w:pPr>
              <w:pStyle w:val="Compact"/>
              <w:jc w:val="left"/>
            </w:pPr>
            <w:r>
              <w:t xml:space="preserve">Scope</w:t>
            </w:r>
          </w:p>
        </w:tc>
      </w:tr>
      <w:tr>
        <w:tc>
          <w:tcPr/>
          <w:p>
            <w:pPr>
              <w:pStyle w:val="Compact"/>
              <w:jc w:val="left"/>
            </w:pPr>
            <w:r>
              <w:t xml:space="preserve">Aluminum Alloy Casing</w:t>
            </w:r>
          </w:p>
        </w:tc>
        <w:tc>
          <w:tcPr/>
          <w:p>
            <w:pPr>
              <w:pStyle w:val="Compact"/>
              <w:jc w:val="left"/>
            </w:pPr>
            <w:r>
              <w:t xml:space="preserve">0.5</w:t>
            </w:r>
          </w:p>
        </w:tc>
        <w:tc>
          <w:tcPr/>
          <w:p>
            <w:pPr>
              <w:pStyle w:val="Compact"/>
              <w:jc w:val="left"/>
            </w:pPr>
            <w:r>
              <w:t xml:space="preserve">8.0</w:t>
            </w:r>
          </w:p>
        </w:tc>
        <w:tc>
          <w:tcPr/>
          <w:p>
            <w:pPr>
              <w:pStyle w:val="Compact"/>
              <w:jc w:val="left"/>
            </w:pPr>
            <w:r>
              <w:t xml:space="preserve">4.00</w:t>
            </w:r>
          </w:p>
        </w:tc>
        <w:tc>
          <w:tcPr/>
          <w:p>
            <w:pPr>
              <w:pStyle w:val="Compact"/>
              <w:jc w:val="left"/>
            </w:pPr>
            <w:r>
              <w:t xml:space="preserve">Scope 3</w:t>
            </w:r>
          </w:p>
        </w:tc>
      </w:tr>
      <w:tr>
        <w:tc>
          <w:tcPr/>
          <w:p>
            <w:pPr>
              <w:pStyle w:val="Compact"/>
              <w:jc w:val="left"/>
            </w:pPr>
            <w:r>
              <w:t xml:space="preserve">ABS Plastic Enclosure</w:t>
            </w:r>
          </w:p>
        </w:tc>
        <w:tc>
          <w:tcPr/>
          <w:p>
            <w:pPr>
              <w:pStyle w:val="Compact"/>
              <w:jc w:val="left"/>
            </w:pPr>
            <w:r>
              <w:t xml:space="preserve">0.3</w:t>
            </w:r>
          </w:p>
        </w:tc>
        <w:tc>
          <w:tcPr/>
          <w:p>
            <w:pPr>
              <w:pStyle w:val="Compact"/>
              <w:jc w:val="left"/>
            </w:pPr>
            <w:r>
              <w:t xml:space="preserve">2.5</w:t>
            </w:r>
          </w:p>
        </w:tc>
        <w:tc>
          <w:tcPr/>
          <w:p>
            <w:pPr>
              <w:pStyle w:val="Compact"/>
              <w:jc w:val="left"/>
            </w:pPr>
            <w:r>
              <w:t xml:space="preserve">0.75</w:t>
            </w:r>
          </w:p>
        </w:tc>
        <w:tc>
          <w:tcPr/>
          <w:p>
            <w:pPr>
              <w:pStyle w:val="Compact"/>
              <w:jc w:val="left"/>
            </w:pPr>
            <w:r>
              <w:t xml:space="preserve">Scope 3</w:t>
            </w:r>
          </w:p>
        </w:tc>
      </w:tr>
      <w:tr>
        <w:tc>
          <w:tcPr/>
          <w:p>
            <w:pPr>
              <w:pStyle w:val="Compact"/>
              <w:jc w:val="left"/>
            </w:pPr>
            <w:r>
              <w:t xml:space="preserve">Printed Circuit Board (PCB)</w:t>
            </w:r>
          </w:p>
        </w:tc>
        <w:tc>
          <w:tcPr/>
          <w:p>
            <w:pPr>
              <w:pStyle w:val="Compact"/>
              <w:jc w:val="left"/>
            </w:pPr>
            <w:r>
              <w:t xml:space="preserve">0.1 * 1 unit</w:t>
            </w:r>
          </w:p>
        </w:tc>
        <w:tc>
          <w:tcPr/>
          <w:p>
            <w:pPr>
              <w:pStyle w:val="Compact"/>
              <w:jc w:val="left"/>
            </w:pPr>
            <w:r>
              <w:t xml:space="preserve">15.0</w:t>
            </w:r>
          </w:p>
        </w:tc>
        <w:tc>
          <w:tcPr/>
          <w:p>
            <w:pPr>
              <w:pStyle w:val="Compact"/>
              <w:jc w:val="left"/>
            </w:pPr>
            <w:r>
              <w:t xml:space="preserve">1.50</w:t>
            </w:r>
          </w:p>
        </w:tc>
        <w:tc>
          <w:tcPr/>
          <w:p>
            <w:pPr>
              <w:pStyle w:val="Compact"/>
              <w:jc w:val="left"/>
            </w:pPr>
            <w:r>
              <w:t xml:space="preserve">Scope 3</w:t>
            </w:r>
          </w:p>
        </w:tc>
      </w:tr>
      <w:tr>
        <w:tc>
          <w:tcPr/>
          <w:p>
            <w:pPr>
              <w:pStyle w:val="Compact"/>
              <w:jc w:val="left"/>
            </w:pPr>
            <w:r>
              <w:t xml:space="preserve">Silicon Chipset</w:t>
            </w:r>
          </w:p>
        </w:tc>
        <w:tc>
          <w:tcPr/>
          <w:p>
            <w:pPr>
              <w:pStyle w:val="Compact"/>
              <w:jc w:val="left"/>
            </w:pPr>
            <w:r>
              <w:t xml:space="preserve">0.01</w:t>
            </w:r>
          </w:p>
        </w:tc>
        <w:tc>
          <w:tcPr/>
          <w:p>
            <w:pPr>
              <w:pStyle w:val="Compact"/>
              <w:jc w:val="left"/>
            </w:pPr>
            <w:r>
              <w:t xml:space="preserve">200.0</w:t>
            </w:r>
          </w:p>
        </w:tc>
        <w:tc>
          <w:tcPr/>
          <w:p>
            <w:pPr>
              <w:pStyle w:val="Compact"/>
              <w:jc w:val="left"/>
            </w:pPr>
            <w:r>
              <w:t xml:space="preserve">2.00</w:t>
            </w:r>
          </w:p>
        </w:tc>
        <w:tc>
          <w:tcPr/>
          <w:p>
            <w:pPr>
              <w:pStyle w:val="Compact"/>
              <w:jc w:val="left"/>
            </w:pPr>
            <w:r>
              <w:t xml:space="preserve">Scope 3</w:t>
            </w:r>
          </w:p>
        </w:tc>
      </w:tr>
      <w:tr>
        <w:tc>
          <w:tcPr/>
          <w:p>
            <w:pPr>
              <w:pStyle w:val="Compact"/>
              <w:jc w:val="left"/>
            </w:pPr>
            <w:r>
              <w:t xml:space="preserve">Lithium-ion Battery</w:t>
            </w:r>
          </w:p>
        </w:tc>
        <w:tc>
          <w:tcPr/>
          <w:p>
            <w:pPr>
              <w:pStyle w:val="Compact"/>
              <w:jc w:val="left"/>
            </w:pPr>
            <w:r>
              <w:t xml:space="preserve">0.15</w:t>
            </w:r>
          </w:p>
        </w:tc>
        <w:tc>
          <w:tcPr/>
          <w:p>
            <w:pPr>
              <w:pStyle w:val="Compact"/>
              <w:jc w:val="left"/>
            </w:pPr>
            <w:r>
              <w:t xml:space="preserve">10.0</w:t>
            </w:r>
          </w:p>
        </w:tc>
        <w:tc>
          <w:tcPr/>
          <w:p>
            <w:pPr>
              <w:pStyle w:val="Compact"/>
              <w:jc w:val="left"/>
            </w:pPr>
            <w:r>
              <w:t xml:space="preserve">1.50</w:t>
            </w:r>
          </w:p>
        </w:tc>
        <w:tc>
          <w:tcPr/>
          <w:p>
            <w:pPr>
              <w:pStyle w:val="Compact"/>
              <w:jc w:val="left"/>
            </w:pPr>
            <w:r>
              <w:t xml:space="preserve">Scope 3</w:t>
            </w:r>
          </w:p>
        </w:tc>
      </w:tr>
      <w:tr>
        <w:tc>
          <w:tcPr>
            <w:gridSpan w:val="3"/>
          </w:tcPr>
          <w:p>
            <w:pPr>
              <w:pStyle w:val="Compact"/>
              <w:jc w:val="left"/>
            </w:pPr>
            <w:r>
              <w:t xml:space="preserve">Total Material Emissions</w:t>
            </w:r>
          </w:p>
        </w:tc>
        <w:tc>
          <w:tcPr/>
          <w:p>
            <w:pPr>
              <w:pStyle w:val="Compact"/>
              <w:jc w:val="left"/>
            </w:pPr>
            <w:r>
              <w:t xml:space="preserve">9.75</w:t>
            </w:r>
          </w:p>
        </w:tc>
        <w:tc>
          <w:tcPr/>
          <w:p>
            <w:pPr>
              <w:pStyle w:val="Compact"/>
            </w:pPr>
          </w:p>
        </w:tc>
      </w:tr>
    </w:tbl>
    <w:bookmarkEnd w:id="38"/>
    <w:bookmarkStart w:id="39" w:name="manufacturing-production-scope-1-2"/>
    <w:p>
      <w:pPr>
        <w:pStyle w:val="Heading4"/>
      </w:pPr>
      <w:r>
        <w:t xml:space="preserve">3.3.2. Manufacturing / Production (Scope 1 &amp; 2)</w:t>
      </w:r>
    </w:p>
    <w:p>
      <w:pPr>
        <w:pStyle w:val="FirstParagraph"/>
      </w:pPr>
      <w:r>
        <w:t xml:space="preserve">Calculations for the manufacturing phase at the China factory:</w:t>
      </w:r>
    </w:p>
    <w:p>
      <w:pPr>
        <w:numPr>
          <w:ilvl w:val="0"/>
          <w:numId w:val="1008"/>
        </w:numPr>
        <w:pStyle w:val="Compact"/>
      </w:pPr>
      <w:r>
        <w:t xml:space="preserve">Energy Intensity: 5.0 kWh/unit</w:t>
      </w:r>
    </w:p>
    <w:p>
      <w:pPr>
        <w:numPr>
          <w:ilvl w:val="0"/>
          <w:numId w:val="1008"/>
        </w:numPr>
        <w:pStyle w:val="Compact"/>
      </w:pPr>
      <w:r>
        <w:t xml:space="preserve">Renewable Energy Usage: 30%</w:t>
      </w:r>
    </w:p>
    <w:p>
      <w:pPr>
        <w:numPr>
          <w:ilvl w:val="0"/>
          <w:numId w:val="1008"/>
        </w:numPr>
        <w:pStyle w:val="Compact"/>
      </w:pPr>
      <w:r>
        <w:t xml:space="preserve">Grid Electricity Emission Factor (China): 0.65 kgCO2e/kWh</w:t>
      </w:r>
    </w:p>
    <w:p>
      <w:pPr>
        <w:pStyle w:val="FirstParagraph"/>
      </w:pPr>
      <w:r>
        <w:t xml:space="preserve">Energy from Grid = Energy Intensity * (1 - Renewable Energy Usage)</w:t>
      </w:r>
      <w:r>
        <w:br/>
      </w:r>
      <w:r>
        <w:t xml:space="preserve">Energy from Grid = 5.0 kWh/unit * (1 - 0.30) = 3.5 kWh/unit</w:t>
      </w:r>
    </w:p>
    <w:p>
      <w:pPr>
        <w:pStyle w:val="BodyText"/>
      </w:pPr>
      <w:r>
        <w:t xml:space="preserve">Emissions from Purchased Electricity (Scope 2) = Energy from Grid * Grid Electricity Emission Factor</w:t>
      </w:r>
      <w:r>
        <w:br/>
      </w:r>
      <w:r>
        <w:t xml:space="preserve">Emissions from Purchased Electricity = 3.5 kWh/unit * 0.65 kgCO2e/kWh = 2.275 kgCO2e/unit</w:t>
      </w:r>
    </w:p>
    <w:p>
      <w:pPr>
        <w:pStyle w:val="BodyText"/>
      </w:pPr>
      <w:r>
        <w:rPr>
          <w:iCs/>
          <w:i/>
        </w:rPr>
        <w:t xml:space="preserve">Note: Assuming no direct (Scope 1) emissions from manufacturing processes (e.g., owned boilers) are significant enough to be reported separately based on the provided parameters. If present, they would be added here.</w:t>
      </w:r>
    </w:p>
    <w:p>
      <w:pPr>
        <w:pStyle w:val="BodyText"/>
      </w:pPr>
      <w:r>
        <w:rPr>
          <w:bCs/>
          <w:b/>
        </w:rPr>
        <w:t xml:space="preserve">Total Manufacturing Emissions (Scope 2): 2.275 kgCO2e/unit</w:t>
      </w:r>
    </w:p>
    <w:bookmarkEnd w:id="39"/>
    <w:bookmarkStart w:id="40" w:name="X2a29cc43609b2c9992ebcfc032a39d98ef8c006"/>
    <w:p>
      <w:pPr>
        <w:pStyle w:val="Heading4"/>
      </w:pPr>
      <w:r>
        <w:t xml:space="preserve">3.3.3. Transport (Inbound &amp; Outbound) (Scope 3 - Upstream &amp; Downstream)</w:t>
      </w:r>
    </w:p>
    <w:p>
      <w:pPr>
        <w:pStyle w:val="FirstParagraph"/>
      </w:pPr>
      <w:r>
        <w:t xml:space="preserve">For simplicity, assuming total product mass for transport calculations as sum of BOM items:</w:t>
      </w:r>
      <w:r>
        <w:t xml:space="preserve"> </w:t>
      </w:r>
      <w:r>
        <w:t xml:space="preserve">0.5 + 0.3 + 0.1 + 0.01 + 0.15 = 1.06 kg/unit (approx. 0.00106 tonnes/unit).</w:t>
      </w:r>
      <w:r>
        <w:t xml:space="preserve"> </w:t>
      </w:r>
      <w:r>
        <w:t xml:space="preserve">Assuming packaging adds 0.1 kg, total transport mass = 1.16 kg/unit.</w:t>
      </w:r>
    </w:p>
    <w:p>
      <w:pPr>
        <w:numPr>
          <w:ilvl w:val="0"/>
          <w:numId w:val="1009"/>
        </w:numPr>
        <w:pStyle w:val="Compact"/>
      </w:pPr>
      <w:r>
        <w:rPr>
          <w:bCs/>
          <w:b/>
        </w:rPr>
        <w:t xml:space="preserve">Ocean Freight (China to Europe port - components &amp; product):</w:t>
      </w:r>
    </w:p>
    <w:p>
      <w:pPr>
        <w:numPr>
          <w:ilvl w:val="1"/>
          <w:numId w:val="1010"/>
        </w:numPr>
        <w:pStyle w:val="Compact"/>
      </w:pPr>
      <w:r>
        <w:t xml:space="preserve">Distance: 10,000 km</w:t>
      </w:r>
    </w:p>
    <w:p>
      <w:pPr>
        <w:numPr>
          <w:ilvl w:val="1"/>
          <w:numId w:val="1010"/>
        </w:numPr>
        <w:pStyle w:val="Compact"/>
      </w:pPr>
      <w:r>
        <w:t xml:space="preserve">Mass: 0.00116 tonnes/unit</w:t>
      </w:r>
    </w:p>
    <w:p>
      <w:pPr>
        <w:numPr>
          <w:ilvl w:val="1"/>
          <w:numId w:val="1010"/>
        </w:numPr>
        <w:pStyle w:val="Compact"/>
      </w:pPr>
      <w:r>
        <w:t xml:space="preserve">Emission Factor: 0.01 kgCO2e/tkm</w:t>
      </w:r>
    </w:p>
    <w:p>
      <w:pPr>
        <w:numPr>
          <w:ilvl w:val="1"/>
          <w:numId w:val="1010"/>
        </w:numPr>
        <w:pStyle w:val="Compact"/>
      </w:pPr>
      <w:r>
        <w:t xml:space="preserve">Emissions = 10,000 km * 0.00116 tonnes * 0.01 kgCO2e/tkm = 0.116 kgCO2e/unit (Scope 3)</w:t>
      </w:r>
    </w:p>
    <w:p>
      <w:pPr>
        <w:numPr>
          <w:ilvl w:val="0"/>
          <w:numId w:val="1009"/>
        </w:numPr>
        <w:pStyle w:val="Compact"/>
      </w:pPr>
      <w:r>
        <w:rPr>
          <w:bCs/>
          <w:b/>
        </w:rPr>
        <w:t xml:space="preserve">Road Freight (within Europe/China - components, distribution to warehouse):</w:t>
      </w:r>
    </w:p>
    <w:p>
      <w:pPr>
        <w:numPr>
          <w:ilvl w:val="1"/>
          <w:numId w:val="1011"/>
        </w:numPr>
        <w:pStyle w:val="Compact"/>
      </w:pPr>
      <w:r>
        <w:t xml:space="preserve">Distance: 500 km</w:t>
      </w:r>
    </w:p>
    <w:p>
      <w:pPr>
        <w:numPr>
          <w:ilvl w:val="1"/>
          <w:numId w:val="1011"/>
        </w:numPr>
        <w:pStyle w:val="Compact"/>
      </w:pPr>
      <w:r>
        <w:t xml:space="preserve">Mass: 0.00116 tonnes/unit</w:t>
      </w:r>
    </w:p>
    <w:p>
      <w:pPr>
        <w:numPr>
          <w:ilvl w:val="1"/>
          <w:numId w:val="1011"/>
        </w:numPr>
        <w:pStyle w:val="Compact"/>
      </w:pPr>
      <w:r>
        <w:t xml:space="preserve">Emission Factor: 0.09 kgCO2e/tkm</w:t>
      </w:r>
    </w:p>
    <w:p>
      <w:pPr>
        <w:numPr>
          <w:ilvl w:val="1"/>
          <w:numId w:val="1011"/>
        </w:numPr>
        <w:pStyle w:val="Compact"/>
      </w:pPr>
      <w:r>
        <w:t xml:space="preserve">Emissions = 500 km * 0.00116 tonnes * 0.09 kgCO2e/tkm = 0.0522 kgCO2e/unit (Scope 3)</w:t>
      </w:r>
    </w:p>
    <w:p>
      <w:pPr>
        <w:numPr>
          <w:ilvl w:val="0"/>
          <w:numId w:val="1009"/>
        </w:numPr>
        <w:pStyle w:val="Compact"/>
      </w:pPr>
      <w:r>
        <w:rPr>
          <w:bCs/>
          <w:b/>
        </w:rPr>
        <w:t xml:space="preserve">Last-Mile Delivery (Courier Van):</w:t>
      </w:r>
    </w:p>
    <w:p>
      <w:pPr>
        <w:numPr>
          <w:ilvl w:val="1"/>
          <w:numId w:val="1012"/>
        </w:numPr>
        <w:pStyle w:val="Compact"/>
      </w:pPr>
      <w:r>
        <w:t xml:space="preserve">Emissions: 0.2 kgCO2e/unit (Scope 3)</w:t>
      </w:r>
    </w:p>
    <w:p>
      <w:pPr>
        <w:pStyle w:val="FirstParagraph"/>
      </w:pPr>
      <w:r>
        <w:rPr>
          <w:bCs/>
          <w:b/>
        </w:rPr>
        <w:t xml:space="preserve">Total Transport Emissions (Scope 3): 0.116 + 0.0522 + 0.2 = 0.3682 kgCO2e/unit</w:t>
      </w:r>
    </w:p>
    <w:bookmarkEnd w:id="40"/>
    <w:bookmarkStart w:id="41" w:name="use-phase-scope-3---downstream"/>
    <w:p>
      <w:pPr>
        <w:pStyle w:val="Heading4"/>
      </w:pPr>
      <w:r>
        <w:t xml:space="preserve">3.3.4. Use Phase (Scope 3 - Downstream)</w:t>
      </w:r>
    </w:p>
    <w:p>
      <w:pPr>
        <w:pStyle w:val="FirstParagraph"/>
      </w:pPr>
      <w:r>
        <w:t xml:space="preserve">Emissions from the use phase over the product\'s lifespan:</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Electricity Grid Emission Factor (Europe average for use phase): 0.25 kgCO2e/kWh (Illustrative)</w:t>
      </w:r>
    </w:p>
    <w:p>
      <w:pPr>
        <w:pStyle w:val="FirstParagraph"/>
      </w:pPr>
      <w:r>
        <w:t xml:space="preserve">Annual Use Phase Emissions = Energy Consumption in Use * European Grid Emission Factor</w:t>
      </w:r>
      <w:r>
        <w:br/>
      </w:r>
      <w:r>
        <w:t xml:space="preserve">Annual Use Phase Emissions = 10 kWh/year * 0.25 kgCO2e/kWh = 2.5 kgCO2e/year</w:t>
      </w:r>
    </w:p>
    <w:p>
      <w:pPr>
        <w:pStyle w:val="BodyText"/>
      </w:pPr>
      <w:r>
        <w:t xml:space="preserve">Total Use Phase Emissions = Annual Use Phase Emissions * Product Lifespan</w:t>
      </w:r>
      <w:r>
        <w:br/>
      </w:r>
      <w:r>
        <w:t xml:space="preserve">Total Use Phase Emissions = 2.5 kgCO2e/year * 5 years = 12.5 kgCO2e/unit</w:t>
      </w:r>
    </w:p>
    <w:p>
      <w:pPr>
        <w:pStyle w:val="BodyText"/>
      </w:pPr>
      <w:r>
        <w:rPr>
          <w:bCs/>
          <w:b/>
        </w:rPr>
        <w:t xml:space="preserve">Total Use Phase Emissions (Scope 3): 12.5 kgCO2e/unit</w:t>
      </w:r>
    </w:p>
    <w:bookmarkEnd w:id="41"/>
    <w:bookmarkStart w:id="42" w:name="end-of-life-eol-scope-3---downstream"/>
    <w:p>
      <w:pPr>
        <w:pStyle w:val="Heading4"/>
      </w:pPr>
      <w:r>
        <w:t xml:space="preserve">3.3.5. End-of-Life (EoL) (Scope 3 - Downstream)</w:t>
      </w:r>
    </w:p>
    <w:p>
      <w:pPr>
        <w:pStyle w:val="FirstParagraph"/>
      </w:pPr>
      <w:r>
        <w:t xml:space="preserve">Considering recyclability and circular programs:</w:t>
      </w:r>
    </w:p>
    <w:p>
      <w:pPr>
        <w:numPr>
          <w:ilvl w:val="0"/>
          <w:numId w:val="1014"/>
        </w:numPr>
        <w:pStyle w:val="Compact"/>
      </w:pPr>
      <w:r>
        <w:t xml:space="preserve">Product Mass: 1.16 kg/unit (including packaging estimate)</w:t>
      </w:r>
    </w:p>
    <w:p>
      <w:pPr>
        <w:numPr>
          <w:ilvl w:val="0"/>
          <w:numId w:val="1014"/>
        </w:numPr>
        <w:pStyle w:val="Compact"/>
      </w:pPr>
      <w:r>
        <w:t xml:space="preserve">Recyclability Percentage: 70%</w:t>
      </w:r>
    </w:p>
    <w:p>
      <w:pPr>
        <w:numPr>
          <w:ilvl w:val="0"/>
          <w:numId w:val="1014"/>
        </w:numPr>
        <w:pStyle w:val="Compact"/>
      </w:pPr>
      <w:r>
        <w:t xml:space="preserve">Circular/Take-back Programs: Yes, company-operated</w:t>
      </w:r>
    </w:p>
    <w:p>
      <w:pPr>
        <w:pStyle w:val="FirstParagraph"/>
      </w:pPr>
      <w:r>
        <w:t xml:space="preserve">Mass Recycled = 1.16 kg * 0.70 = 0.812 kg</w:t>
      </w:r>
      <w:r>
        <w:br/>
      </w:r>
      <w:r>
        <w:t xml:space="preserve">Mass to Landfill/Incineration (non-recycled) = 1.16 kg * (1 - 0.70) = 0.348 kg</w:t>
      </w:r>
    </w:p>
    <w:p>
      <w:pPr>
        <w:pStyle w:val="BodyText"/>
      </w:pPr>
      <w:r>
        <w:t xml:space="preserve">EoL Emissions (Landfill/Incineration) = Mass to Landfill * Illustrative EoL Emission Factor</w:t>
      </w:r>
      <w:r>
        <w:br/>
      </w:r>
      <w:r>
        <w:t xml:space="preserve">EoL Emissions = 0.348 kg * 0.5 kgCO2e/kg = 0.174 kgCO2e/unit</w:t>
      </w:r>
    </w:p>
    <w:p>
      <w:pPr>
        <w:pStyle w:val="BodyText"/>
      </w:pPr>
      <w:r>
        <w:t xml:space="preserve">Recycling Credits (avoided virgin material production, illustrative average):</w:t>
      </w:r>
      <w:r>
        <w:t xml:space="preserve"> </w:t>
      </w:r>
      <w:r>
        <w:t xml:space="preserve">Assuming an average credit of -2.0 kgCO2e/kg for recycled materials.</w:t>
      </w:r>
      <w:r>
        <w:t xml:space="preserve"> </w:t>
      </w:r>
      <w:r>
        <w:t xml:space="preserve">Recycling Credits = 0.812 kg * -2.0 kgCO2e/kg = -1.624 kgCO2e/unit</w:t>
      </w:r>
    </w:p>
    <w:p>
      <w:pPr>
        <w:pStyle w:val="BodyText"/>
      </w:pPr>
      <w:r>
        <w:rPr>
          <w:iCs/>
          <w:i/>
        </w:rPr>
        <w:t xml:space="preserve">The existence of a company-operated take-back program ("hguolxowxq") further enhances the reliability</w:t>
      </w:r>
      <w:r>
        <w:rPr>
          <w:iCs/>
          <w:i/>
        </w:rPr>
        <w:t xml:space="preserve"> </w:t>
      </w:r>
      <w:r>
        <w:rPr>
          <w:iCs/>
          <w:i/>
        </w:rPr>
        <w:t xml:space="preserve">of achieving the specified recyclability percentage and potentially allows for higher-quality recycled</w:t>
      </w:r>
      <w:r>
        <w:rPr>
          <w:iCs/>
          <w:i/>
        </w:rPr>
        <w:t xml:space="preserve"> </w:t>
      </w:r>
      <w:r>
        <w:rPr>
          <w:iCs/>
          <w:i/>
        </w:rPr>
        <w:t xml:space="preserve">content or reuse, which would yield greater benefits than a generic recycling credit. For calculation</w:t>
      </w:r>
      <w:r>
        <w:rPr>
          <w:iCs/>
          <w:i/>
        </w:rPr>
        <w:t xml:space="preserve"> </w:t>
      </w:r>
      <w:r>
        <w:rPr>
          <w:iCs/>
          <w:i/>
        </w:rPr>
        <w:t xml:space="preserve">purposes, the direct recycling percentage and associated credits are applied.</w:t>
      </w:r>
    </w:p>
    <w:p>
      <w:pPr>
        <w:pStyle w:val="BodyText"/>
      </w:pPr>
      <w:r>
        <w:rPr>
          <w:bCs/>
          <w:b/>
        </w:rPr>
        <w:t xml:space="preserve">Total End-of-Life Emissions (Scope 3): 0.174 + (-1.624) = -1.45 kgCO2e/unit</w:t>
      </w:r>
    </w:p>
    <w:bookmarkEnd w:id="42"/>
    <w:bookmarkEnd w:id="43"/>
    <w:bookmarkStart w:id="44" w:name="X4445851c14d44f9a23021f1d53388bca2c4dd3d"/>
    <w:p>
      <w:pPr>
        <w:pStyle w:val="Heading3"/>
      </w:pPr>
      <w:r>
        <w:t xml:space="preserve">3.4. Land Sector and Removals (LSR) Standard (2026 Update)</w:t>
      </w:r>
    </w:p>
    <w:p>
      <w:pPr>
        <w:pStyle w:val="FirstParagraph"/>
      </w:pPr>
      <w:r>
        <w:t xml:space="preserve">The 2026 LSR Standard for land use and carbon removals is applied by considering potential biogenic carbon</w:t>
      </w:r>
      <w:r>
        <w:t xml:space="preserve"> </w:t>
      </w:r>
      <w:r>
        <w:t xml:space="preserve">flows and land-use change emissions associated with raw material sourcing. While specific data for</w:t>
      </w:r>
      <w:r>
        <w:t xml:space="preserve"> </w:t>
      </w:r>
      <w:r>
        <w:t xml:space="preserve">land-use changes (e.g., deforestation for wood products) are not provided in the parameters, the framework</w:t>
      </w:r>
      <w:r>
        <w:t xml:space="preserve"> </w:t>
      </w:r>
      <w:r>
        <w:t xml:space="preserve">acknowledges their inclusion if relevant data were available for \'vgkldljlul\' components. Any direct carbon</w:t>
      </w:r>
      <w:r>
        <w:t xml:space="preserve"> </w:t>
      </w:r>
      <w:r>
        <w:t xml:space="preserve">removals (e.g., through bio-based materials sequestering CO2) would be quantified and reported separately</w:t>
      </w:r>
      <w:r>
        <w:t xml:space="preserve"> </w:t>
      </w:r>
      <w:r>
        <w:t xml:space="preserve">according to LSR guidance. In this specific PCF, based on the provided BOM (metals, plastics, electronics),</w:t>
      </w:r>
      <w:r>
        <w:t xml:space="preserve"> </w:t>
      </w:r>
      <w:r>
        <w:t xml:space="preserve">significant biogenic carbon flows or land-use change emissions are assumed to be negligible for core</w:t>
      </w:r>
      <w:r>
        <w:t xml:space="preserve"> </w:t>
      </w:r>
      <w:r>
        <w:t xml:space="preserve">components unless otherwise specified.</w:t>
      </w:r>
    </w:p>
    <w:bookmarkEnd w:id="44"/>
    <w:bookmarkStart w:id="45" w:name="scope-3-compliance-95-coverage"/>
    <w:p>
      <w:pPr>
        <w:pStyle w:val="Heading3"/>
      </w:pPr>
      <w:r>
        <w:t xml:space="preserve">3.5. Scope 3 Compliance (95% Coverage)</w:t>
      </w:r>
    </w:p>
    <w:p>
      <w:pPr>
        <w:pStyle w:val="FirstParagraph"/>
      </w:pPr>
      <w:r>
        <w:t xml:space="preserve">This analysis strives for comprehensive Scope 3 coverage, targeting the 95% threshold as per</w:t>
      </w:r>
      <w:r>
        <w:t xml:space="preserve"> </w:t>
      </w:r>
      <w:r>
        <w:t xml:space="preserve">2026 requirements. By incorporating detailed BOM data, transport logistics, use phase, and end-of-life</w:t>
      </w:r>
      <w:r>
        <w:t xml:space="preserve"> </w:t>
      </w:r>
      <w:r>
        <w:t xml:space="preserve">scenarios, a significant portion of the value chain emissions is captured. Missing elements would typically</w:t>
      </w:r>
      <w:r>
        <w:t xml:space="preserve"> </w:t>
      </w:r>
      <w:r>
        <w:t xml:space="preserve">include capital goods, employee commuting, business travel, and waste from operations not directly tied to the product,</w:t>
      </w:r>
      <w:r>
        <w:t xml:space="preserve"> </w:t>
      </w:r>
      <w:r>
        <w:t xml:space="preserve">which are usually assessed at a corporate level rather than product level for primary PCF. The current</w:t>
      </w:r>
      <w:r>
        <w:t xml:space="preserve"> </w:t>
      </w:r>
      <w:r>
        <w:t xml:space="preserve">approach provides robust coverage for the product-specific value chain.</w:t>
      </w:r>
    </w:p>
    <w:p>
      <w:r>
        <w:pict>
          <v:rect style="width:0;height:1.5pt" o:hralign="center" o:hrstd="t" o:hr="t"/>
        </w:pict>
      </w:r>
    </w:p>
    <w:bookmarkEnd w:id="45"/>
    <w:bookmarkEnd w:id="46"/>
    <w:bookmarkStart w:id="49" w:name="overall-product-carbon-footprint-pcf"/>
    <w:p>
      <w:pPr>
        <w:pStyle w:val="Heading2"/>
      </w:pPr>
      <w:r>
        <w:t xml:space="preserve">4. Overall Product Carbon Footprint (PCF)</w:t>
      </w:r>
    </w:p>
    <w:bookmarkStart w:id="47"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9.75</w:t>
            </w:r>
          </w:p>
        </w:tc>
        <w:tc>
          <w:tcPr/>
          <w:p>
            <w:pPr>
              <w:pStyle w:val="Compact"/>
              <w:jc w:val="left"/>
            </w:pPr>
            <w:r>
              <w:t xml:space="preserve">Scope 3 (Upstream)</w:t>
            </w:r>
          </w:p>
        </w:tc>
      </w:tr>
      <w:tr>
        <w:tc>
          <w:tcPr/>
          <w:p>
            <w:pPr>
              <w:pStyle w:val="Compact"/>
              <w:jc w:val="left"/>
            </w:pPr>
            <w:r>
              <w:t xml:space="preserve">Manufacturing / Production</w:t>
            </w:r>
          </w:p>
        </w:tc>
        <w:tc>
          <w:tcPr/>
          <w:p>
            <w:pPr>
              <w:pStyle w:val="Compact"/>
              <w:jc w:val="left"/>
            </w:pPr>
            <w:r>
              <w:t xml:space="preserve">2.275</w:t>
            </w:r>
          </w:p>
        </w:tc>
        <w:tc>
          <w:tcPr/>
          <w:p>
            <w:pPr>
              <w:pStyle w:val="Compact"/>
              <w:jc w:val="left"/>
            </w:pPr>
            <w:r>
              <w:t xml:space="preserve">Scope 2</w:t>
            </w:r>
          </w:p>
        </w:tc>
      </w:tr>
      <w:tr>
        <w:tc>
          <w:tcPr/>
          <w:p>
            <w:pPr>
              <w:pStyle w:val="Compact"/>
              <w:jc w:val="left"/>
            </w:pPr>
            <w:r>
              <w:t xml:space="preserve">Transport (Inbound &amp; Outbound)</w:t>
            </w:r>
          </w:p>
        </w:tc>
        <w:tc>
          <w:tcPr/>
          <w:p>
            <w:pPr>
              <w:pStyle w:val="Compact"/>
              <w:jc w:val="left"/>
            </w:pPr>
            <w:r>
              <w:t xml:space="preserve">0.3682</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12.5</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-1.45</w:t>
            </w:r>
          </w:p>
        </w:tc>
        <w:tc>
          <w:tcPr/>
          <w:p>
            <w:pPr>
              <w:pStyle w:val="Compact"/>
              <w:jc w:val="left"/>
            </w:pPr>
            <w:r>
              <w:t xml:space="preserve">Scope 3 (Downstream)</w:t>
            </w:r>
          </w:p>
        </w:tc>
      </w:tr>
      <w:tr>
        <w:tc>
          <w:tcPr/>
          <w:p>
            <w:pPr>
              <w:pStyle w:val="Compact"/>
              <w:jc w:val="left"/>
            </w:pPr>
            <w:r>
              <w:t xml:space="preserve">Total Product Carbon Footprint</w:t>
            </w:r>
          </w:p>
        </w:tc>
        <w:tc>
          <w:tcPr/>
          <w:p>
            <w:pPr>
              <w:pStyle w:val="Compact"/>
              <w:jc w:val="left"/>
            </w:pPr>
            <w:r>
              <w:t xml:space="preserve">23.4432</w:t>
            </w:r>
          </w:p>
        </w:tc>
        <w:tc>
          <w:tcPr/>
          <w:p>
            <w:pPr>
              <w:pStyle w:val="Compact"/>
            </w:pPr>
          </w:p>
        </w:tc>
      </w:tr>
    </w:tbl>
    <w:bookmarkEnd w:id="47"/>
    <w:bookmarkStart w:id="48" w:name="hotspots-and-reliability"/>
    <w:p>
      <w:pPr>
        <w:pStyle w:val="Heading3"/>
      </w:pPr>
      <w:r>
        <w:t xml:space="preserve">4.2. Hotspots and Reliability</w:t>
      </w:r>
    </w:p>
    <w:p>
      <w:pPr>
        <w:pStyle w:val="FirstParagraph"/>
      </w:pPr>
      <w:r>
        <w:t xml:space="preserve">The primary emission hotspots for vgkldljlul are identified as:</w:t>
      </w:r>
    </w:p>
    <w:p>
      <w:pPr>
        <w:numPr>
          <w:ilvl w:val="0"/>
          <w:numId w:val="1015"/>
        </w:numPr>
        <w:pStyle w:val="Compact"/>
      </w:pPr>
      <w:r>
        <w:rPr>
          <w:bCs/>
          <w:b/>
        </w:rPr>
        <w:t xml:space="preserve">Use Phase (12.5 kgCO2e/unit):</w:t>
      </w:r>
      <w:r>
        <w:t xml:space="preserve"> </w:t>
      </w:r>
      <w:r>
        <w:t xml:space="preserve">This stage accounts for the largest share of the footprint, primarily due to the energy consumption over the product\'s 5-year lifespan. This highlights the importance of energy efficiency in product design and the energy mix of regions where the product is used.</w:t>
      </w:r>
    </w:p>
    <w:p>
      <w:pPr>
        <w:numPr>
          <w:ilvl w:val="0"/>
          <w:numId w:val="1015"/>
        </w:numPr>
        <w:pStyle w:val="Compact"/>
      </w:pPr>
      <w:r>
        <w:rPr>
          <w:bCs/>
          <w:b/>
        </w:rPr>
        <w:t xml:space="preserve">Materials Acquisition &amp; Pre-processing (9.75 kgCO2e/unit):</w:t>
      </w:r>
      <w:r>
        <w:t xml:space="preserve"> </w:t>
      </w:r>
      <w:r>
        <w:t xml:space="preserve">Materials like silicon and aluminum contribute significantly due to their energy-intensive production processes [cite: 18, 23, 27, 32 (Aluminum), 34, 48, 50, 51 (Silicon)]. Opportunities exist in sourcing lower-carbon materials or increasing recycled content.</w:t>
      </w:r>
    </w:p>
    <w:p>
      <w:pPr>
        <w:pStyle w:val="FirstParagraph"/>
      </w:pPr>
      <w:r>
        <w:t xml:space="preserve">The reliability of this PCF is considered high given the use of a detailed BOM and specific input parameters.</w:t>
      </w:r>
      <w:r>
        <w:t xml:space="preserve"> </w:t>
      </w:r>
      <w:r>
        <w:t xml:space="preserve">However, it relies on several assumed emission factors for transport and regional electricity grids, as well</w:t>
      </w:r>
      <w:r>
        <w:t xml:space="preserve"> </w:t>
      </w:r>
      <w:r>
        <w:t xml:space="preserve">as illustrative values for placeholders. For even higher accuracy, primary data on actual transport routes,</w:t>
      </w:r>
      <w:r>
        <w:t xml:space="preserve"> </w:t>
      </w:r>
      <w:r>
        <w:t xml:space="preserve">energy consumption in manufacturing, and specific regional grid mixes should be collected where possible.</w:t>
      </w:r>
    </w:p>
    <w:p>
      <w:r>
        <w:pict>
          <v:rect style="width:0;height:1.5pt" o:hralign="center" o:hrstd="t" o:hr="t"/>
        </w:pict>
      </w:r>
    </w:p>
    <w:bookmarkEnd w:id="48"/>
    <w:bookmarkEnd w:id="49"/>
    <w:bookmarkStart w:id="50" w:name="recommendations-for-emission-reduction"/>
    <w:p>
      <w:pPr>
        <w:pStyle w:val="Heading2"/>
      </w:pPr>
      <w:r>
        <w:t xml:space="preserve">5. Recommendations for Emission Reduction</w:t>
      </w:r>
    </w:p>
    <w:p>
      <w:pPr>
        <w:pStyle w:val="FirstParagraph"/>
      </w:pPr>
      <w:r>
        <w:t xml:space="preserve">Based on the PCF analysis, rrfsrgungd can focus on the following areas to reduce the environmental impact of vgkldljlul:</w:t>
      </w:r>
    </w:p>
    <w:p>
      <w:pPr>
        <w:numPr>
          <w:ilvl w:val="0"/>
          <w:numId w:val="1016"/>
        </w:numPr>
        <w:pStyle w:val="Compact"/>
      </w:pPr>
      <w:r>
        <w:rPr>
          <w:bCs/>
          <w:b/>
        </w:rPr>
        <w:t xml:space="preserve">Improve Use Phase Efficiency:</w:t>
      </w:r>
      <w:r>
        <w:t xml:space="preserve"> </w:t>
      </w:r>
      <w:r>
        <w:t xml:space="preserve">Invest in R&amp;D to reduce the product\'s energy consumption during its operational life. Educate users on energy-efficient usage patterns.</w:t>
      </w:r>
    </w:p>
    <w:p>
      <w:pPr>
        <w:numPr>
          <w:ilvl w:val="0"/>
          <w:numId w:val="1016"/>
        </w:numPr>
        <w:pStyle w:val="Compact"/>
      </w:pPr>
      <w:r>
        <w:rPr>
          <w:bCs/>
          <w:b/>
        </w:rPr>
        <w:t xml:space="preserve">Decarbonize Manufacturing:</w:t>
      </w:r>
      <w:r>
        <w:t xml:space="preserve"> </w:t>
      </w:r>
      <w:r>
        <w:t xml:space="preserve">Increase the percentage of renewable energy used in production facilities beyond the current 30%. Explore options for on-site renewable energy generation or green energy procurement contracts.</w:t>
      </w:r>
    </w:p>
    <w:p>
      <w:pPr>
        <w:numPr>
          <w:ilvl w:val="0"/>
          <w:numId w:val="1016"/>
        </w:numPr>
        <w:pStyle w:val="Compact"/>
      </w:pPr>
      <w:r>
        <w:rPr>
          <w:bCs/>
          <w:b/>
        </w:rPr>
        <w:t xml:space="preserve">Sustainable Material Sourcing:</w:t>
      </w:r>
      <w:r>
        <w:t xml:space="preserve"> </w:t>
      </w:r>
      <w:r>
        <w:t xml:space="preserve">Investigate alternative materials with lower embodied carbon, increase the use of recycled content, and explore circular design principles that facilitate easier disassembly and material recovery.</w:t>
      </w:r>
    </w:p>
    <w:p>
      <w:pPr>
        <w:numPr>
          <w:ilvl w:val="0"/>
          <w:numId w:val="1016"/>
        </w:numPr>
        <w:pStyle w:val="Compact"/>
      </w:pPr>
      <w:r>
        <w:rPr>
          <w:bCs/>
          <w:b/>
        </w:rPr>
        <w:t xml:space="preserve">Optimize Logistics:</w:t>
      </w:r>
      <w:r>
        <w:t xml:space="preserve"> </w:t>
      </w:r>
      <w:r>
        <w:t xml:space="preserve">Explore more efficient transport modes (e.g., rail over road for longer distances within Europe) and optimize load factors to reduce per-unit emissions.</w:t>
      </w:r>
    </w:p>
    <w:p>
      <w:pPr>
        <w:numPr>
          <w:ilvl w:val="0"/>
          <w:numId w:val="1016"/>
        </w:numPr>
        <w:pStyle w:val="Compact"/>
      </w:pPr>
      <w:r>
        <w:rPr>
          <w:bCs/>
          <w:b/>
        </w:rPr>
        <w:t xml:space="preserve">Enhance Circularity:</w:t>
      </w:r>
      <w:r>
        <w:t xml:space="preserve"> </w:t>
      </w:r>
      <w:r>
        <w:t xml:space="preserve">Strengthen the existing take-back program to maximize material recovery and explore opportunities for product refurbishment or remanufacturing, extending product lifespan and reducing the need for new production.</w:t>
      </w:r>
    </w:p>
    <w:p>
      <w:r>
        <w:pict>
          <v:rect style="width:0;height:1.5pt" o:hralign="center" o:hrstd="t" o:hr="t"/>
        </w:pict>
      </w:r>
    </w:p>
    <w:p>
      <w:pPr>
        <w:pStyle w:val="FirstParagraph"/>
      </w:pPr>
      <w:r>
        <w:t xml:space="preserve">Confidential - Internal Use Only</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vgkldljlul</dc:title>
  <dc:creator/>
  <dc:description>High-detail Product Carbon Footprint (PCF) analysis report for vgkldljlul by rrfsrgungd, adhering to GHG Protocol and 2026 LSR standards, conducted by Senior Sustainability Consultant mdylqsuhsm.</dc:description>
  <dc:language>en</dc:language>
  <cp:keywords/>
  <dcterms:created xsi:type="dcterms:W3CDTF">2026-07-15T12:42:57Z</dcterms:created>
  <dcterms:modified xsi:type="dcterms:W3CDTF">2026-07-15T12:42:57Z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