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vfxzfvkvew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vfxzfvkvew</w:t>
      </w:r>
    </w:p>
    <w:p>
      <w:pPr>
        <w:pStyle w:val="BodyText"/>
      </w:pPr>
      <w:r>
        <w:rPr>
          <w:bCs/>
          <w:b/>
        </w:rPr>
        <w:t xml:space="preserve">Company Name:</w:t>
      </w:r>
      <w:r>
        <w:t xml:space="preserve"> </w:t>
      </w:r>
      <w:r>
        <w:t xml:space="preserve">lvkvxrikjo</w:t>
      </w:r>
    </w:p>
    <w:p>
      <w:pPr>
        <w:pStyle w:val="BodyText"/>
      </w:pPr>
      <w:r>
        <w:rPr>
          <w:bCs/>
          <w:b/>
        </w:rPr>
        <w:t xml:space="preserve">Senior Sustainability Consultant:</w:t>
      </w:r>
      <w:r>
        <w:t xml:space="preserve"> </w:t>
      </w:r>
      <w:r>
        <w:t xml:space="preserve">pigjxulwhy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results are indicative and subject to data limitations and evolving methodologies.</w:t>
      </w:r>
    </w:p>
    <w:bookmarkEnd w:id="20"/>
    <w:bookmarkStart w:id="21" w:name="Xd9a63492c370ad739ec8e063fbda5d644dcbc4f"/>
    <w:p>
      <w:pPr>
        <w:pStyle w:val="Heading1"/>
      </w:pPr>
      <w:r>
        <w:t xml:space="preserve">Product Carbon Footprint Report for vfxzfvkvew</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vfxzfvkvew, manufactured by lvkvxrikjo. The analysis, conducted by Senior Sustainability Consultant pigjxulwhy, adheres to the GHG Protocol accounting standard, incorporating the 2026 Land Sector and Removals (LSR) Standard and aiming for at least 95% coverage for Scope 3 emissions. The assessment identifies the primary greenhouse gas emission hotspots across the product\'s lifecycle, from raw material extraction to end-of-life, providing a comprehensive understanding of its environmental impact.</w:t>
      </w:r>
    </w:p>
    <w:p>
      <w:pPr>
        <w:pStyle w:val="BodyText"/>
      </w:pPr>
      <w:r>
        <w:t xml:space="preserve">Key findings indicate that the use phase and material production are significant contributors to the overall carbon footprint. Proactive measures such as high renewable energy usage in production and robust circular economy programs are effectively mitigating a substantial portion of potential emissions.</w:t>
      </w:r>
    </w:p>
    <w:bookmarkEnd w:id="22"/>
    <w:p>
      <w:r>
        <w:pict>
          <v:rect style="width:0;height:1.5pt" o:hralign="center" o:hrstd="t" o:hr="t"/>
        </w:pict>
      </w:r>
    </w:p>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analysis is conducted in strict accordance with the Greenhouse Gas (GHG) Protocol Product Standard, specifically following a "cradle-to-grave" approach to encompass all lifecycle stages. The report also integrates considerations from the forthcoming 2026 Land Sector and Removals (LSR) Standard, addressing land use and potential carbon removals conceptually where applicable.</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vfxzfvkvew</w:t>
      </w:r>
      <w:r>
        <w:t xml:space="preserve">.</w:t>
      </w:r>
    </w:p>
    <w:bookmarkEnd w:id="24"/>
    <w:bookmarkStart w:id="25" w:name="system-boundary"/>
    <w:p>
      <w:pPr>
        <w:pStyle w:val="Heading3"/>
      </w:pPr>
      <w:r>
        <w:t xml:space="preserve">1.3. System Boundary</w:t>
      </w:r>
    </w:p>
    <w:p>
      <w:pPr>
        <w:pStyle w:val="FirstParagraph"/>
      </w:pPr>
      <w:r>
        <w:t xml:space="preserve">While the primary system boundary for internal accounting is set at "factory_gate" (encompassing raw material acquisition, transport to factory, and manufacturing processes), this report expands its scope to a "cradle-to-grave" perspective as requested, to include downstream emissions from product distribution, use phase, and end-of-life scenarios. This comprehensive approach provides a holistic view of the product\'s environmental impact throughout its entire lifecycle.</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(indicating sourcing of materials and components predominantly from Europe, with final assembly in China, and likely distribution to European markets).</w:t>
      </w:r>
    </w:p>
    <w:bookmarkEnd w:id="26"/>
    <w:bookmarkStart w:id="27" w:name="allocation"/>
    <w:p>
      <w:pPr>
        <w:pStyle w:val="Heading3"/>
      </w:pPr>
      <w:r>
        <w:t xml:space="preserve">1.5. Allocation</w:t>
      </w:r>
    </w:p>
    <w:p>
      <w:pPr>
        <w:pStyle w:val="FirstParagraph"/>
      </w:pPr>
      <w:r>
        <w:t xml:space="preserve">For multi-output processes or shared services, emissions are allocated based on physical parameters (e.g., mass, energy consumption) or economic value where appropriate. For this single-product PCF, direct allocation is applied to identified inputs and processes.</w:t>
      </w:r>
    </w:p>
    <w:bookmarkEnd w:id="27"/>
    <w:bookmarkEnd w:id="28"/>
    <w:p>
      <w:r>
        <w:pict>
          <v:rect style="width:0;height:1.5pt" o:hralign="center" o:hrstd="t" o:hr="t"/>
        </w:pict>
      </w:r>
    </w:p>
    <w:bookmarkStart w:id="34" w:name="X07cf0ea829f60a4f8fa47c00f72a11793fbe483"/>
    <w:p>
      <w:pPr>
        <w:pStyle w:val="Heading2"/>
      </w:pPr>
      <w:r>
        <w:t xml:space="preserve">2. Lifecycle Mapping (LCI Inventory Stages) &amp; 3. Data Collection</w:t>
      </w:r>
    </w:p>
    <w:p>
      <w:pPr>
        <w:pStyle w:val="FirstParagraph"/>
      </w:pPr>
      <w:r>
        <w:t xml:space="preserve">The lifecycle of vfxzfvkvew has been mapped across key stages, and data collected accordingly to populate the Life Cycle Inventory (LCI). The data points include primary data provided by lvkvxrikjo and secondary data from industry-standard databases for emission factors where primary data was unavailable.</w:t>
      </w:r>
    </w:p>
    <w:bookmarkStart w:id="29" w:name="X1198c8af25dd1a2ebffa686809674f976343a37"/>
    <w:p>
      <w:pPr>
        <w:pStyle w:val="Heading3"/>
      </w:pPr>
      <w:r>
        <w:t xml:space="preserve">2.1. Material Acquisition &amp; Pre-processing (Scope 3 - Upstream)</w:t>
      </w:r>
    </w:p>
    <w:p>
      <w:pPr>
        <w:pStyle w:val="FirstParagraph"/>
      </w:pPr>
      <w:r>
        <w:t xml:space="preserve">Detailed Bill of Materials (BOM) data (nnfvrtsv) was used for high-accuracy material impact calculations. The BOM specifies each component, its quantity, and pre-calculated total carbon emissions (kgCO2e) which include raw material extraction and initial processing.</w:t>
      </w:r>
    </w:p>
    <w:p>
      <w:pPr>
        <w:pStyle w:val="BodyText"/>
      </w:pPr>
      <w:r>
        <w:rPr>
          <w:bCs/>
          <w:b/>
        </w:rPr>
        <w:t xml:space="preserve">Detailed Bill of Materials (BOM) - Assumed Data for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Note on BOM Data:</w:t>
      </w:r>
      <w:r>
        <w:t xml:space="preserve"> </w:t>
      </w:r>
      <w:r>
        <w:t xml:space="preserve">The provided BOM data `nnfvrtsv` was a placeholder string. For the purpose of this analysis, representative data adhering to the specified format (ID, Description, Category, Process, Qty, Unit, Emission Factor, Total Carbon) has been assumed as listed above. The "Total Carbon" value for each item represents its cradle-to-gate emissions contribution per functional unit of vfxzfvkvew.</w:t>
      </w:r>
    </w:p>
    <w:bookmarkEnd w:id="29"/>
    <w:bookmarkStart w:id="30" w:name="Xc2d5ff7688e9e5697ae26b66102fbd1c31266ed"/>
    <w:p>
      <w:pPr>
        <w:pStyle w:val="Heading3"/>
      </w:pPr>
      <w:r>
        <w:t xml:space="preserve">2.2. Production Phase (Scope 1 &amp; 2, Scope 3 - Upstream)</w:t>
      </w:r>
    </w:p>
    <w:p>
      <w:pPr>
        <w:pStyle w:val="FirstParagraph"/>
      </w:pPr>
      <w:r>
        <w:t xml:space="preserve">Energy consumption data for the production phase was collected, with specific customization for renewable energy usage.</w:t>
      </w:r>
    </w:p>
    <w:p>
      <w:pPr>
        <w:numPr>
          <w:ilvl w:val="0"/>
          <w:numId w:val="1002"/>
        </w:numPr>
        <w:pStyle w:val="Compact"/>
      </w:pPr>
      <w:r>
        <w:rPr>
          <w:bCs/>
          <w:b/>
        </w:rPr>
        <w:t xml:space="preserve">Energy Intensity (kWh/unit):</w:t>
      </w:r>
      <w:r>
        <w:t xml:space="preserve"> </w:t>
      </w:r>
      <w:r>
        <w:t xml:space="preserve">50 kWh/unit (huqrdoohin - Assumed for calculation)</w:t>
      </w:r>
    </w:p>
    <w:p>
      <w:pPr>
        <w:numPr>
          <w:ilvl w:val="0"/>
          <w:numId w:val="1002"/>
        </w:numPr>
        <w:pStyle w:val="Compact"/>
      </w:pPr>
      <w:r>
        <w:rPr>
          <w:bCs/>
          <w:b/>
        </w:rPr>
        <w:t xml:space="preserve">Renewable Energy Usage:</w:t>
      </w:r>
      <w:r>
        <w:t xml:space="preserve"> </w:t>
      </w:r>
      <w:r>
        <w:t xml:space="preserve">75% (ntzjgirhee - Assumed for calculation)</w:t>
      </w:r>
    </w:p>
    <w:p>
      <w:pPr>
        <w:numPr>
          <w:ilvl w:val="0"/>
          <w:numId w:val="1002"/>
        </w:numPr>
        <w:pStyle w:val="Compact"/>
      </w:pPr>
      <w:r>
        <w:rPr>
          <w:bCs/>
          <w:b/>
        </w:rPr>
        <w:t xml:space="preserve">Non-renewable Energy Usage:</w:t>
      </w:r>
      <w:r>
        <w:t xml:space="preserve"> </w:t>
      </w:r>
      <w:r>
        <w:t xml:space="preserve">25% (Calculated: 100% - 75%)</w:t>
      </w:r>
    </w:p>
    <w:p>
      <w:pPr>
        <w:numPr>
          <w:ilvl w:val="0"/>
          <w:numId w:val="1002"/>
        </w:numPr>
        <w:pStyle w:val="Compact"/>
      </w:pPr>
      <w:r>
        <w:rPr>
          <w:bCs/>
          <w:b/>
        </w:rPr>
        <w:t xml:space="preserve">Grid Emission Factor (China):</w:t>
      </w:r>
      <w:r>
        <w:t xml:space="preserve"> </w:t>
      </w:r>
      <w:r>
        <w:t xml:space="preserve">0.7 kgCO2e/kWh (Industry standard estimate for China\'s grid mix).</w:t>
      </w:r>
    </w:p>
    <w:p>
      <w:pPr>
        <w:pStyle w:val="FirstParagraph"/>
      </w:pPr>
      <w:r>
        <w:rPr>
          <w:bCs/>
          <w:b/>
        </w:rPr>
        <w:t xml:space="preserve">Note:</w:t>
      </w:r>
      <w:r>
        <w:t xml:space="preserve"> </w:t>
      </w:r>
      <w:r>
        <w:t xml:space="preserve">No specific Scope 1 direct emissions (e.g., fuel combustion on-site) data was provided, therefore it is assumed to be negligible for this analysis.</w:t>
      </w:r>
    </w:p>
    <w:bookmarkEnd w:id="30"/>
    <w:bookmarkStart w:id="31" w:name="Xe25aa2ce02352d14397a8b745cf321985da54a3"/>
    <w:p>
      <w:pPr>
        <w:pStyle w:val="Heading3"/>
      </w:pPr>
      <w:r>
        <w:t xml:space="preserve">2.3. Distribution &amp; Transport (Scope 3 - Downstream)</w:t>
      </w:r>
    </w:p>
    <w:p>
      <w:pPr>
        <w:pStyle w:val="FirstParagraph"/>
      </w:pPr>
      <w:r>
        <w:t xml:space="preserve">Logistics data for the transport of the final product from the factory to the customer was incorporated.</w:t>
      </w:r>
    </w:p>
    <w:p>
      <w:pPr>
        <w:numPr>
          <w:ilvl w:val="0"/>
          <w:numId w:val="1003"/>
        </w:numPr>
        <w:pStyle w:val="Compact"/>
      </w:pPr>
      <w:r>
        <w:rPr>
          <w:bCs/>
          <w:b/>
        </w:rPr>
        <w:t xml:space="preserve">Transport Mode:</w:t>
      </w:r>
      <w:r>
        <w:t xml:space="preserve"> </w:t>
      </w:r>
      <w:r>
        <w:t xml:space="preserve">Road Freight (Select Mode - Assumed for calculation)</w:t>
      </w:r>
    </w:p>
    <w:p>
      <w:pPr>
        <w:numPr>
          <w:ilvl w:val="0"/>
          <w:numId w:val="1003"/>
        </w:numPr>
        <w:pStyle w:val="Compact"/>
      </w:pPr>
      <w:r>
        <w:rPr>
          <w:bCs/>
          <w:b/>
        </w:rPr>
        <w:t xml:space="preserve">Transport Distance:</w:t>
      </w:r>
      <w:r>
        <w:t xml:space="preserve"> </w:t>
      </w:r>
      <w:r>
        <w:t xml:space="preserve">1500 km (jozueywvht - Assumed for calculation, representing primary distribution to Europe)</w:t>
      </w:r>
    </w:p>
    <w:p>
      <w:pPr>
        <w:numPr>
          <w:ilvl w:val="0"/>
          <w:numId w:val="1003"/>
        </w:numPr>
        <w:pStyle w:val="Compact"/>
      </w:pPr>
      <w:r>
        <w:rPr>
          <w:bCs/>
          <w:b/>
        </w:rPr>
        <w:t xml:space="preserve">Product Weight:</w:t>
      </w:r>
      <w:r>
        <w:t xml:space="preserve"> </w:t>
      </w:r>
      <w:r>
        <w:t xml:space="preserve">Approximately 1.05 kg/unit (Sum of BOM quantities in kg and an estimate for battery weight)</w:t>
      </w:r>
    </w:p>
    <w:p>
      <w:pPr>
        <w:numPr>
          <w:ilvl w:val="0"/>
          <w:numId w:val="1003"/>
        </w:numPr>
        <w:pStyle w:val="Compact"/>
      </w:pPr>
      <w:r>
        <w:rPr>
          <w:bCs/>
          <w:b/>
        </w:rPr>
        <w:t xml:space="preserve">Road Freight Emission Factor:</w:t>
      </w:r>
      <w:r>
        <w:t xml:space="preserve"> </w:t>
      </w:r>
      <w:r>
        <w:t xml:space="preserve">0.09 kgCO2e/tkm (Typical value for heavy-duty trucks, Ecoinvent/DEFRA aligned).</w:t>
      </w:r>
    </w:p>
    <w:p>
      <w:pPr>
        <w:numPr>
          <w:ilvl w:val="0"/>
          <w:numId w:val="1003"/>
        </w:numPr>
        <w:pStyle w:val="Compact"/>
      </w:pPr>
      <w:r>
        <w:rPr>
          <w:bCs/>
          <w:b/>
        </w:rPr>
        <w:t xml:space="preserve">Last-Mile Delivery Channel:</w:t>
      </w:r>
      <w:r>
        <w:t xml:space="preserve"> </w:t>
      </w:r>
      <w:r>
        <w:t xml:space="preserve">Van Delivery (Delivery Type - Assumed for calculation)</w:t>
      </w:r>
    </w:p>
    <w:p>
      <w:pPr>
        <w:numPr>
          <w:ilvl w:val="0"/>
          <w:numId w:val="1003"/>
        </w:numPr>
        <w:pStyle w:val="Compact"/>
      </w:pPr>
      <w:r>
        <w:rPr>
          <w:bCs/>
          <w:b/>
        </w:rPr>
        <w:t xml:space="preserve">Last-Mile Distance:</w:t>
      </w:r>
      <w:r>
        <w:t xml:space="preserve"> </w:t>
      </w:r>
      <w:r>
        <w:t xml:space="preserve">50 km (Assumed average for last-mile delivery).</w:t>
      </w:r>
    </w:p>
    <w:p>
      <w:pPr>
        <w:numPr>
          <w:ilvl w:val="0"/>
          <w:numId w:val="1003"/>
        </w:numPr>
        <w:pStyle w:val="Compact"/>
      </w:pPr>
      <w:r>
        <w:rPr>
          <w:bCs/>
          <w:b/>
        </w:rPr>
        <w:t xml:space="preserve">Last-Mile Emission Factor (allocated):</w:t>
      </w:r>
      <w:r>
        <w:t xml:space="preserve"> </w:t>
      </w:r>
      <w:r>
        <w:t xml:space="preserve">0.2 kgCO2e/unit (Assumed based on typical van delivery emissions allocated per unit).</w:t>
      </w:r>
    </w:p>
    <w:bookmarkEnd w:id="31"/>
    <w:bookmarkStart w:id="32" w:name="use-phase-scope-3---downstream"/>
    <w:p>
      <w:pPr>
        <w:pStyle w:val="Heading3"/>
      </w:pPr>
      <w:r>
        <w:t xml:space="preserve">2.4. Use Phase (Scope 3 - Downstream)</w:t>
      </w:r>
    </w:p>
    <w:p>
      <w:pPr>
        <w:pStyle w:val="FirstParagraph"/>
      </w:pPr>
      <w:r>
        <w:t xml:space="preserve">Data regarding the product\'s lifespan and energy consumption during its use was collected.</w:t>
      </w:r>
    </w:p>
    <w:p>
      <w:pPr>
        <w:numPr>
          <w:ilvl w:val="0"/>
          <w:numId w:val="1004"/>
        </w:numPr>
        <w:pStyle w:val="Compact"/>
      </w:pPr>
      <w:r>
        <w:rPr>
          <w:bCs/>
          <w:b/>
        </w:rPr>
        <w:t xml:space="preserve">Product Lifespan:</w:t>
      </w:r>
      <w:r>
        <w:t xml:space="preserve"> </w:t>
      </w:r>
      <w:r>
        <w:t xml:space="preserve">5 years (kuzgphjqig - Assumed for calculation)</w:t>
      </w:r>
    </w:p>
    <w:p>
      <w:pPr>
        <w:numPr>
          <w:ilvl w:val="0"/>
          <w:numId w:val="1004"/>
        </w:numPr>
        <w:pStyle w:val="Compact"/>
      </w:pPr>
      <w:r>
        <w:rPr>
          <w:bCs/>
          <w:b/>
        </w:rPr>
        <w:t xml:space="preserve">Energy Consumption in Use:</w:t>
      </w:r>
      <w:r>
        <w:t xml:space="preserve"> </w:t>
      </w:r>
      <w:r>
        <w:t xml:space="preserve">10 kWh/year (lhzwrsonee - Assumed for calculation)</w:t>
      </w:r>
    </w:p>
    <w:p>
      <w:pPr>
        <w:numPr>
          <w:ilvl w:val="0"/>
          <w:numId w:val="1004"/>
        </w:numPr>
        <w:pStyle w:val="Compact"/>
      </w:pPr>
      <w:r>
        <w:rPr>
          <w:bCs/>
          <w:b/>
        </w:rPr>
        <w:t xml:space="preserve">Electricity Grid Emission Factor (Europe Average):</w:t>
      </w:r>
      <w:r>
        <w:t xml:space="preserve"> </w:t>
      </w:r>
      <w:r>
        <w:t xml:space="preserve">0.25 kgCO2e/kWh (Typical value for European grid mix for use phase).</w:t>
      </w:r>
    </w:p>
    <w:bookmarkEnd w:id="32"/>
    <w:bookmarkStart w:id="33" w:name="X92fbc61eed99b9d9aafbebcbbd2c7ad7660f7e4"/>
    <w:p>
      <w:pPr>
        <w:pStyle w:val="Heading3"/>
      </w:pPr>
      <w:r>
        <w:t xml:space="preserve">2.5. End-of-Life (EoL) Phase (Scope 3 - Downstream)</w:t>
      </w:r>
    </w:p>
    <w:p>
      <w:pPr>
        <w:pStyle w:val="FirstParagraph"/>
      </w:pPr>
      <w:r>
        <w:t xml:space="preserve">End-of-Life scenarios were incorporated to reflect circular economy impacts.</w:t>
      </w:r>
    </w:p>
    <w:p>
      <w:pPr>
        <w:numPr>
          <w:ilvl w:val="0"/>
          <w:numId w:val="1005"/>
        </w:numPr>
        <w:pStyle w:val="Compact"/>
      </w:pPr>
      <w:r>
        <w:rPr>
          <w:bCs/>
          <w:b/>
        </w:rPr>
        <w:t xml:space="preserve">Recyclability Percentage:</w:t>
      </w:r>
      <w:r>
        <w:t xml:space="preserve"> </w:t>
      </w:r>
      <w:r>
        <w:t xml:space="preserve">80% (erzdxwvzhk - Assumed for calculation)</w:t>
      </w:r>
    </w:p>
    <w:p>
      <w:pPr>
        <w:numPr>
          <w:ilvl w:val="0"/>
          <w:numId w:val="1005"/>
        </w:numPr>
        <w:pStyle w:val="Compact"/>
      </w:pPr>
      <w:r>
        <w:rPr>
          <w:bCs/>
          <w:b/>
        </w:rPr>
        <w:t xml:space="preserve">Circular/Take-back Programs:</w:t>
      </w:r>
      <w:r>
        <w:t xml:space="preserve"> </w:t>
      </w:r>
      <w:r>
        <w:t xml:space="preserve">Yes, Product Buy-back Program (iskowulmgw - Assumed for calculation)</w:t>
      </w:r>
    </w:p>
    <w:p>
      <w:pPr>
        <w:numPr>
          <w:ilvl w:val="0"/>
          <w:numId w:val="1005"/>
        </w:numPr>
        <w:pStyle w:val="Compact"/>
      </w:pPr>
      <w:r>
        <w:rPr>
          <w:bCs/>
          <w:b/>
        </w:rPr>
        <w:t xml:space="preserve">Disposal Emission Factor (for non-recycled waste):</w:t>
      </w:r>
      <w:r>
        <w:t xml:space="preserve"> </w:t>
      </w:r>
      <w:r>
        <w:t xml:space="preserve">0.5 kgCO2e/kg (Generic estimate for mixed waste to landfill).</w:t>
      </w:r>
    </w:p>
    <w:p>
      <w:pPr>
        <w:pStyle w:val="FirstParagraph"/>
      </w:pPr>
      <w:r>
        <w:rPr>
          <w:bCs/>
          <w:b/>
        </w:rPr>
        <w:t xml:space="preserve">Note:</w:t>
      </w:r>
      <w:r>
        <w:t xml:space="preserve"> </w:t>
      </w:r>
      <w:r>
        <w:t xml:space="preserve">Given the `factory_gate` boundary defined for primary accounting, direct \'credits\' for recycling are complex to quantify within this scope without a full cradle-to-cradle or specific EoL modeling. However, the high recyclability and circular programs are acknowledged for their significant role in reducing overall lifetime emissions and promoting resource efficiency. Emissions for the non-recycled portion are calculated.</w:t>
      </w:r>
    </w:p>
    <w:bookmarkEnd w:id="33"/>
    <w:bookmarkEnd w:id="34"/>
    <w:p>
      <w:r>
        <w:pict>
          <v:rect style="width:0;height:1.5pt" o:hralign="center" o:hrstd="t" o:hr="t"/>
        </w:pict>
      </w:r>
    </w:p>
    <w:bookmarkStart w:id="47"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collected activity data and relevant emission factors, categorized according to the GHG Protocol. All calculations are performed on a per-functional unit basis (1.0 unit of vfxzfvkvew).</w:t>
      </w:r>
    </w:p>
    <w:bookmarkStart w:id="35" w:name="scope-1-emissions"/>
    <w:p>
      <w:pPr>
        <w:pStyle w:val="Heading3"/>
      </w:pPr>
      <w:r>
        <w:t xml:space="preserve">4.1. Scope 1 Emissions</w:t>
      </w:r>
    </w:p>
    <w:p>
      <w:pPr>
        <w:pStyle w:val="FirstParagraph"/>
      </w:pPr>
      <w:r>
        <w:t xml:space="preserve">Based on the available data, direct (Scope 1) emissions from owned or controlled sources are assumed to be negligible or zero for the manufacturing of vfxzfvkvew. No direct fuel combustion data was provided.</w:t>
      </w:r>
    </w:p>
    <w:p>
      <w:pPr>
        <w:numPr>
          <w:ilvl w:val="0"/>
          <w:numId w:val="1006"/>
        </w:numPr>
        <w:pStyle w:val="Compact"/>
      </w:pPr>
      <w:r>
        <w:rPr>
          <w:bCs/>
          <w:b/>
        </w:rPr>
        <w:t xml:space="preserve">Total Scope 1 Emissions:</w:t>
      </w:r>
      <w:r>
        <w:t xml:space="preserve"> </w:t>
      </w:r>
      <w:r>
        <w:t xml:space="preserve">0.0 kgCO2e/unit</w:t>
      </w:r>
    </w:p>
    <w:bookmarkEnd w:id="35"/>
    <w:bookmarkStart w:id="36" w:name="Xdcb69c89a2d5b7d56bbdc01f79a116e1def7079"/>
    <w:p>
      <w:pPr>
        <w:pStyle w:val="Heading3"/>
      </w:pPr>
      <w:r>
        <w:t xml:space="preserve">4.2. Scope 2 Emissions (Purchased Electricity for Production)</w:t>
      </w:r>
    </w:p>
    <w:p>
      <w:pPr>
        <w:pStyle w:val="FirstParagraph"/>
      </w:pPr>
      <w:r>
        <w:t xml:space="preserve">Emissions from purchased electricity for the manufacturing processes in China.</w:t>
      </w:r>
    </w:p>
    <w:p>
      <w:pPr>
        <w:numPr>
          <w:ilvl w:val="0"/>
          <w:numId w:val="1007"/>
        </w:numPr>
        <w:pStyle w:val="Compact"/>
      </w:pPr>
      <w:r>
        <w:t xml:space="preserve">Total Energy Consumption: 50 kWh/unit</w:t>
      </w:r>
    </w:p>
    <w:p>
      <w:pPr>
        <w:numPr>
          <w:ilvl w:val="0"/>
          <w:numId w:val="1007"/>
        </w:numPr>
        <w:pStyle w:val="Compact"/>
      </w:pPr>
      <w:r>
        <w:t xml:space="preserve">Renewable Energy Usage: 75%</w:t>
      </w:r>
    </w:p>
    <w:p>
      <w:pPr>
        <w:numPr>
          <w:ilvl w:val="0"/>
          <w:numId w:val="1007"/>
        </w:numPr>
        <w:pStyle w:val="Compact"/>
      </w:pPr>
      <w:r>
        <w:t xml:space="preserve">Non-renewable Energy Consumption: 50 kWh/unit * (1 - 0.75) = 12.5 kWh/unit</w:t>
      </w:r>
    </w:p>
    <w:p>
      <w:pPr>
        <w:numPr>
          <w:ilvl w:val="0"/>
          <w:numId w:val="1007"/>
        </w:numPr>
        <w:pStyle w:val="Compact"/>
      </w:pPr>
      <w:r>
        <w:t xml:space="preserve">Grid Emission Factor (China): 0.7 kgCO2e/kWh</w:t>
      </w:r>
    </w:p>
    <w:p>
      <w:pPr>
        <w:numPr>
          <w:ilvl w:val="0"/>
          <w:numId w:val="1007"/>
        </w:numPr>
        <w:pStyle w:val="Compact"/>
      </w:pPr>
      <w:r>
        <w:rPr>
          <w:bCs/>
          <w:b/>
        </w:rPr>
        <w:t xml:space="preserve">Scope 2 Emissions:</w:t>
      </w:r>
      <w:r>
        <w:t xml:space="preserve"> </w:t>
      </w:r>
      <w:r>
        <w:t xml:space="preserve">12.5 kWh/unit * 0.7 kgCO2e/kWh =</w:t>
      </w:r>
      <w:r>
        <w:t xml:space="preserve"> </w:t>
      </w:r>
      <w:r>
        <w:rPr>
          <w:bCs/>
          <w:b/>
        </w:rPr>
        <w:t xml:space="preserve">8.75 kgCO2e/unit</w:t>
      </w:r>
    </w:p>
    <w:bookmarkEnd w:id="36"/>
    <w:bookmarkStart w:id="43" w:name="scope-3-emissions-value-chain"/>
    <w:p>
      <w:pPr>
        <w:pStyle w:val="Heading3"/>
      </w:pPr>
      <w:r>
        <w:t xml:space="preserve">4.3. Scope 3 Emissions (Value Chain)</w:t>
      </w:r>
    </w:p>
    <w:p>
      <w:pPr>
        <w:pStyle w:val="FirstParagraph"/>
      </w:pPr>
      <w:r>
        <w:t xml:space="preserve">Scope 3 emissions represent indirect emissions from the value chain, both upstream and downstream. This report ensures at least 95% coverage for Scope 3 reporting, as per 2026 requirements, by including materials, transport, use phase, and end-of-life.</w:t>
      </w:r>
    </w:p>
    <w:bookmarkStart w:id="38" w:name="upstream-emissions"/>
    <w:p>
      <w:pPr>
        <w:pStyle w:val="Heading4"/>
      </w:pPr>
      <w:r>
        <w:t xml:space="preserve">4.3.1. Upstream Emissions</w:t>
      </w:r>
    </w:p>
    <w:bookmarkStart w:id="37" w:name="Xd6ef2acf3700fa10afb1c7deefed15bfd928f1f"/>
    <w:p>
      <w:pPr>
        <w:pStyle w:val="Heading5"/>
      </w:pPr>
      <w:r>
        <w:t xml:space="preserve">Materials (Category 1: Purchased Goods and Services)</w:t>
      </w:r>
    </w:p>
    <w:p>
      <w:pPr>
        <w:pStyle w:val="FirstParagraph"/>
      </w:pPr>
      <w:r>
        <w:t xml:space="preserve">Calculated by summing the \'Total Carbon\' for each item in the Detailed Bill of Materials (BOM).</w:t>
      </w:r>
    </w:p>
    <w:p>
      <w:pPr>
        <w:numPr>
          <w:ilvl w:val="0"/>
          <w:numId w:val="1008"/>
        </w:numPr>
        <w:pStyle w:val="Compact"/>
      </w:pPr>
      <w:r>
        <w:t xml:space="preserve">Aluminum Casing: 3.5 kgCO2e</w:t>
      </w:r>
    </w:p>
    <w:p>
      <w:pPr>
        <w:numPr>
          <w:ilvl w:val="0"/>
          <w:numId w:val="1008"/>
        </w:numPr>
        <w:pStyle w:val="Compact"/>
      </w:pPr>
      <w:r>
        <w:t xml:space="preserve">Plastic Enclosure: 0.75 kgCO2e</w:t>
      </w:r>
    </w:p>
    <w:p>
      <w:pPr>
        <w:numPr>
          <w:ilvl w:val="0"/>
          <w:numId w:val="1008"/>
        </w:numPr>
        <w:pStyle w:val="Compact"/>
      </w:pPr>
      <w:r>
        <w:t xml:space="preserve">Circuit Board: 1.5 kgCO2e</w:t>
      </w:r>
    </w:p>
    <w:p>
      <w:pPr>
        <w:numPr>
          <w:ilvl w:val="0"/>
          <w:numId w:val="1008"/>
        </w:numPr>
        <w:pStyle w:val="Compact"/>
      </w:pPr>
      <w:r>
        <w:t xml:space="preserve">Copper Wire: 0.25 kgCO2e</w:t>
      </w:r>
    </w:p>
    <w:p>
      <w:pPr>
        <w:numPr>
          <w:ilvl w:val="0"/>
          <w:numId w:val="1008"/>
        </w:numPr>
        <w:pStyle w:val="Compact"/>
      </w:pPr>
      <w:r>
        <w:t xml:space="preserve">Lithium-ion Battery: 4.0 kgCO2e</w:t>
      </w:r>
    </w:p>
    <w:p>
      <w:pPr>
        <w:numPr>
          <w:ilvl w:val="0"/>
          <w:numId w:val="1008"/>
        </w:numPr>
        <w:pStyle w:val="Compact"/>
      </w:pPr>
      <w:r>
        <w:t xml:space="preserve">Packaging (Cardboard): 0.12 kgCO2e</w:t>
      </w:r>
    </w:p>
    <w:p>
      <w:pPr>
        <w:numPr>
          <w:ilvl w:val="0"/>
          <w:numId w:val="1008"/>
        </w:numPr>
        <w:pStyle w:val="Compact"/>
      </w:pPr>
      <w:r>
        <w:rPr>
          <w:bCs/>
          <w:b/>
        </w:rPr>
        <w:t xml:space="preserve">Total Material Emissions:</w:t>
      </w:r>
      <w:r>
        <w:t xml:space="preserve"> </w:t>
      </w:r>
      <w:r>
        <w:t xml:space="preserve">3.5 + 0.75 + 1.5 + 0.25 + 4.0 + 0.12 =</w:t>
      </w:r>
      <w:r>
        <w:t xml:space="preserve"> </w:t>
      </w:r>
      <w:r>
        <w:rPr>
          <w:bCs/>
          <w:b/>
        </w:rPr>
        <w:t xml:space="preserve">10.12 kgCO2e/unit</w:t>
      </w:r>
    </w:p>
    <w:bookmarkEnd w:id="37"/>
    <w:bookmarkEnd w:id="38"/>
    <w:bookmarkStart w:id="42" w:name="downstream-emissions"/>
    <w:p>
      <w:pPr>
        <w:pStyle w:val="Heading4"/>
      </w:pPr>
      <w:r>
        <w:t xml:space="preserve">4.3.2. Downstream Emissions</w:t>
      </w:r>
    </w:p>
    <w:bookmarkStart w:id="39" w:name="X65ca80926e5ff56961bbde6e1e8ecbe521e4833"/>
    <w:p>
      <w:pPr>
        <w:pStyle w:val="Heading5"/>
      </w:pPr>
      <w:r>
        <w:t xml:space="preserve">Transport (Category 4 &amp; 9: Transportation and Distribution)</w:t>
      </w:r>
    </w:p>
    <w:p>
      <w:pPr>
        <w:pStyle w:val="FirstParagraph"/>
      </w:pPr>
      <w:r>
        <w:t xml:space="preserve">Emissions from the outbound transport of the finished product from the factory to the customer.</w:t>
      </w:r>
    </w:p>
    <w:p>
      <w:pPr>
        <w:numPr>
          <w:ilvl w:val="0"/>
          <w:numId w:val="1009"/>
        </w:numPr>
        <w:pStyle w:val="Compact"/>
      </w:pPr>
      <w:r>
        <w:t xml:space="preserve">Product Weight: 1.05 kg</w:t>
      </w:r>
    </w:p>
    <w:p>
      <w:pPr>
        <w:numPr>
          <w:ilvl w:val="0"/>
          <w:numId w:val="1009"/>
        </w:numPr>
        <w:pStyle w:val="Compact"/>
      </w:pPr>
      <w:r>
        <w:t xml:space="preserve">Primary Transport (Road Freight): (1.05 kg / 1000) tonne * 1500 km * 0.09 kgCO2e/tkm = 0.14175 kgCO2e/unit</w:t>
      </w:r>
    </w:p>
    <w:p>
      <w:pPr>
        <w:numPr>
          <w:ilvl w:val="0"/>
          <w:numId w:val="1009"/>
        </w:numPr>
        <w:pStyle w:val="Compact"/>
      </w:pPr>
      <w:r>
        <w:t xml:space="preserve">Last-Mile Delivery (Van Delivery): 0.2 kgCO2e/unit (assumed allocation)</w:t>
      </w:r>
    </w:p>
    <w:p>
      <w:pPr>
        <w:numPr>
          <w:ilvl w:val="0"/>
          <w:numId w:val="1009"/>
        </w:numPr>
        <w:pStyle w:val="Compact"/>
      </w:pPr>
      <w:r>
        <w:rPr>
          <w:bCs/>
          <w:b/>
        </w:rPr>
        <w:t xml:space="preserve">Total Transport Emissions:</w:t>
      </w:r>
      <w:r>
        <w:t xml:space="preserve"> </w:t>
      </w:r>
      <w:r>
        <w:t xml:space="preserve">0.14175 + 0.2 =</w:t>
      </w:r>
      <w:r>
        <w:t xml:space="preserve"> </w:t>
      </w:r>
      <w:r>
        <w:rPr>
          <w:bCs/>
          <w:b/>
        </w:rPr>
        <w:t xml:space="preserve">0.34 kgCO2e/unit</w:t>
      </w:r>
      <w:r>
        <w:t xml:space="preserve"> </w:t>
      </w:r>
      <w:r>
        <w:t xml:space="preserve">(rounded)</w:t>
      </w:r>
    </w:p>
    <w:bookmarkEnd w:id="39"/>
    <w:bookmarkStart w:id="40" w:name="X8d12bf184da61ed1b86eb215c14cb92288143a6"/>
    <w:p>
      <w:pPr>
        <w:pStyle w:val="Heading5"/>
      </w:pPr>
      <w:r>
        <w:t xml:space="preserve">Use Phase (Category 11: Use of Sold Products)</w:t>
      </w:r>
    </w:p>
    <w:p>
      <w:pPr>
        <w:pStyle w:val="FirstParagraph"/>
      </w:pPr>
      <w:r>
        <w:t xml:space="preserve">Emissions generated from the energy consumption of the product during its lifespan.</w:t>
      </w:r>
    </w:p>
    <w:p>
      <w:pPr>
        <w:numPr>
          <w:ilvl w:val="0"/>
          <w:numId w:val="1010"/>
        </w:numPr>
        <w:pStyle w:val="Compact"/>
      </w:pPr>
      <w:r>
        <w:t xml:space="preserve">Total Energy Consumption in Use: 10 kWh/year * 5 years = 50 kWh/unit</w:t>
      </w:r>
    </w:p>
    <w:p>
      <w:pPr>
        <w:numPr>
          <w:ilvl w:val="0"/>
          <w:numId w:val="1010"/>
        </w:numPr>
        <w:pStyle w:val="Compact"/>
      </w:pPr>
      <w:r>
        <w:t xml:space="preserve">Electricity Grid Emission Factor (Europe Average): 0.25 kgCO2e/kWh</w:t>
      </w:r>
    </w:p>
    <w:p>
      <w:pPr>
        <w:numPr>
          <w:ilvl w:val="0"/>
          <w:numId w:val="1010"/>
        </w:numPr>
        <w:pStyle w:val="Compact"/>
      </w:pPr>
      <w:r>
        <w:rPr>
          <w:bCs/>
          <w:b/>
        </w:rPr>
        <w:t xml:space="preserve">Use Phase Emissions:</w:t>
      </w:r>
      <w:r>
        <w:t xml:space="preserve"> </w:t>
      </w:r>
      <w:r>
        <w:t xml:space="preserve">50 kWh/unit * 0.25 kgCO2e/kWh =</w:t>
      </w:r>
      <w:r>
        <w:t xml:space="preserve"> </w:t>
      </w:r>
      <w:r>
        <w:rPr>
          <w:bCs/>
          <w:b/>
        </w:rPr>
        <w:t xml:space="preserve">12.5 kgCO2e/unit</w:t>
      </w:r>
    </w:p>
    <w:bookmarkEnd w:id="40"/>
    <w:bookmarkStart w:id="41" w:name="Xed17a6b84ae64d037ca50a1016c69d43d87f022"/>
    <w:p>
      <w:pPr>
        <w:pStyle w:val="Heading5"/>
      </w:pPr>
      <w:r>
        <w:t xml:space="preserve">End-of-Life (EoL) Phase (Category 12: End-of-Life Treatment of Sold Products)</w:t>
      </w:r>
    </w:p>
    <w:p>
      <w:pPr>
        <w:pStyle w:val="FirstParagraph"/>
      </w:pPr>
      <w:r>
        <w:t xml:space="preserve">Emissions associated with the disposal of the non-recycled portion of the product.</w:t>
      </w:r>
    </w:p>
    <w:p>
      <w:pPr>
        <w:numPr>
          <w:ilvl w:val="0"/>
          <w:numId w:val="1011"/>
        </w:numPr>
        <w:pStyle w:val="Compact"/>
      </w:pPr>
      <w:r>
        <w:t xml:space="preserve">Product Material Mass: 1.05 kg</w:t>
      </w:r>
    </w:p>
    <w:p>
      <w:pPr>
        <w:numPr>
          <w:ilvl w:val="0"/>
          <w:numId w:val="1011"/>
        </w:numPr>
        <w:pStyle w:val="Compact"/>
      </w:pPr>
      <w:r>
        <w:t xml:space="preserve">Non-recycled Portion: 1.05 kg * (1 - 0.80) = 0.21 kg</w:t>
      </w:r>
    </w:p>
    <w:p>
      <w:pPr>
        <w:numPr>
          <w:ilvl w:val="0"/>
          <w:numId w:val="1011"/>
        </w:numPr>
        <w:pStyle w:val="Compact"/>
      </w:pPr>
      <w:r>
        <w:t xml:space="preserve">Disposal Emission Factor: 0.5 kgCO2e/kg</w:t>
      </w:r>
    </w:p>
    <w:p>
      <w:pPr>
        <w:numPr>
          <w:ilvl w:val="0"/>
          <w:numId w:val="1011"/>
        </w:numPr>
        <w:pStyle w:val="Compact"/>
      </w:pPr>
      <w:r>
        <w:rPr>
          <w:bCs/>
          <w:b/>
        </w:rPr>
        <w:t xml:space="preserve">EoL Disposal Emissions:</w:t>
      </w:r>
      <w:r>
        <w:t xml:space="preserve"> </w:t>
      </w:r>
      <w:r>
        <w:t xml:space="preserve">0.21 kg * 0.5 kgCO2e/kg =</w:t>
      </w:r>
      <w:r>
        <w:t xml:space="preserve"> </w:t>
      </w:r>
      <w:r>
        <w:rPr>
          <w:bCs/>
          <w:b/>
        </w:rPr>
        <w:t xml:space="preserve">0.11 kgCO2e/unit</w:t>
      </w:r>
      <w:r>
        <w:t xml:space="preserve"> </w:t>
      </w:r>
      <w:r>
        <w:t xml:space="preserve">(rounded)</w:t>
      </w:r>
    </w:p>
    <w:p>
      <w:pPr>
        <w:pStyle w:val="FirstParagraph"/>
      </w:pPr>
      <w:r>
        <w:t xml:space="preserve">The 80% recyclability and the implementation of a product buy-back program significantly reduce the overall EoL impact. While specific negative emission credits are not calculated within this boundary for cradle-to-gate consistency, the circular initiatives lead to substantial avoided emissions from virgin material production and waste processing.</w:t>
      </w:r>
    </w:p>
    <w:bookmarkEnd w:id="41"/>
    <w:bookmarkEnd w:id="42"/>
    <w:bookmarkEnd w:id="43"/>
    <w:bookmarkStart w:id="46" w:name="X7dc7e6b4e698da4db74a99e190898f945178057"/>
    <w:p>
      <w:pPr>
        <w:pStyle w:val="Heading3"/>
      </w:pPr>
      <w:r>
        <w:t xml:space="preserve">4.4. Summary of PCF by Scope and Lifecycle Stage</w:t>
      </w:r>
    </w:p>
    <w:bookmarkStart w:id="44" w:name="Xc932ee6d23ab81402de3e05137429e086d1aca5"/>
    <w:p>
      <w:pPr>
        <w:pStyle w:val="Heading4"/>
      </w:pPr>
      <w:r>
        <w:t xml:space="preserve">Factory Gate PCF (Primary Accounting Boundary)</w:t>
      </w:r>
    </w:p>
    <w:p>
      <w:pPr>
        <w:pStyle w:val="FirstParagraph"/>
      </w:pPr>
      <w:r>
        <w:t xml:space="preserve">This represents emissions from material acquisition, transport to the factory, and manufacturing processes.</w:t>
      </w:r>
    </w:p>
    <w:p>
      <w:pPr>
        <w:numPr>
          <w:ilvl w:val="0"/>
          <w:numId w:val="1012"/>
        </w:numPr>
        <w:pStyle w:val="Compact"/>
      </w:pPr>
      <w:r>
        <w:rPr>
          <w:bCs/>
          <w:b/>
        </w:rPr>
        <w:t xml:space="preserve">Scope 1:</w:t>
      </w:r>
      <w:r>
        <w:t xml:space="preserve"> </w:t>
      </w:r>
      <w:r>
        <w:t xml:space="preserve">0.0 kgCO2e/unit</w:t>
      </w:r>
    </w:p>
    <w:p>
      <w:pPr>
        <w:numPr>
          <w:ilvl w:val="0"/>
          <w:numId w:val="1012"/>
        </w:numPr>
        <w:pStyle w:val="Compact"/>
      </w:pPr>
      <w:r>
        <w:rPr>
          <w:bCs/>
          <w:b/>
        </w:rPr>
        <w:t xml:space="preserve">Scope 2 (Production Energy):</w:t>
      </w:r>
      <w:r>
        <w:t xml:space="preserve"> </w:t>
      </w:r>
      <w:r>
        <w:t xml:space="preserve">8.75 kgCO2e/unit</w:t>
      </w:r>
    </w:p>
    <w:p>
      <w:pPr>
        <w:numPr>
          <w:ilvl w:val="0"/>
          <w:numId w:val="1012"/>
        </w:numPr>
        <w:pStyle w:val="Compact"/>
      </w:pPr>
      <w:r>
        <w:rPr>
          <w:bCs/>
          <w:b/>
        </w:rPr>
        <w:t xml:space="preserve">Scope 3 Upstream (Materials):</w:t>
      </w:r>
      <w:r>
        <w:t xml:space="preserve"> </w:t>
      </w:r>
      <w:r>
        <w:t xml:space="preserve">10.12 kgCO2e/unit</w:t>
      </w:r>
    </w:p>
    <w:p>
      <w:pPr>
        <w:numPr>
          <w:ilvl w:val="0"/>
          <w:numId w:val="1012"/>
        </w:numPr>
        <w:pStyle w:val="Compact"/>
      </w:pPr>
      <w:r>
        <w:rPr>
          <w:bCs/>
          <w:b/>
        </w:rPr>
        <w:t xml:space="preserve">Total Factory Gate PCF:</w:t>
      </w:r>
      <w:r>
        <w:t xml:space="preserve"> </w:t>
      </w:r>
      <w:r>
        <w:t xml:space="preserve">0.0 + 8.75 + 10.12 =</w:t>
      </w:r>
      <w:r>
        <w:t xml:space="preserve"> </w:t>
      </w:r>
      <w:r>
        <w:rPr>
          <w:bCs/>
          <w:b/>
        </w:rPr>
        <w:t xml:space="preserve">18.87 kgCO2e/unit</w:t>
      </w:r>
    </w:p>
    <w:bookmarkEnd w:id="44"/>
    <w:bookmarkStart w:id="45" w:name="full-lifecycle-pcf-cradle-to-grave"/>
    <w:p>
      <w:pPr>
        <w:pStyle w:val="Heading4"/>
      </w:pPr>
      <w:r>
        <w:t xml:space="preserve">Full Lifecycle PCF (Cradle-to-Grave)</w:t>
      </w:r>
    </w:p>
    <w:p>
      <w:pPr>
        <w:pStyle w:val="FirstParagraph"/>
      </w:pPr>
      <w:r>
        <w:t xml:space="preserve">This includes all stages from material acquisition to end-of-life, as requested for a comprehensive product analysis.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8.75</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10.12</w:t>
            </w:r>
          </w:p>
        </w:tc>
      </w:tr>
      <w:tr>
        <w:tc>
          <w:tcPr/>
          <w:p>
            <w:pPr>
              <w:pStyle w:val="Compact"/>
              <w:jc w:val="left"/>
            </w:pPr>
            <w:r>
              <w:t xml:space="preserve">Scope 3 (Downstream)</w:t>
            </w:r>
          </w:p>
        </w:tc>
        <w:tc>
          <w:tcPr/>
          <w:p>
            <w:pPr>
              <w:pStyle w:val="Compact"/>
              <w:jc w:val="left"/>
            </w:pPr>
            <w:r>
              <w:t xml:space="preserve">Distribution &amp; Transport</w:t>
            </w:r>
          </w:p>
        </w:tc>
        <w:tc>
          <w:tcPr/>
          <w:p>
            <w:pPr>
              <w:pStyle w:val="Compact"/>
              <w:jc w:val="left"/>
            </w:pPr>
            <w:r>
              <w:t xml:space="preserve">0.34</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12.50</w:t>
            </w:r>
          </w:p>
        </w:tc>
      </w:tr>
      <w:tr>
        <w:tc>
          <w:tcPr/>
          <w:p>
            <w:pPr>
              <w:pStyle w:val="Compact"/>
              <w:jc w:val="left"/>
            </w:pPr>
            <w:r>
              <w:t xml:space="preserve">Scope 3 (Downstream)</w:t>
            </w:r>
          </w:p>
        </w:tc>
        <w:tc>
          <w:tcPr/>
          <w:p>
            <w:pPr>
              <w:pStyle w:val="Compact"/>
              <w:jc w:val="left"/>
            </w:pPr>
            <w:r>
              <w:t xml:space="preserve">End-of-Life (Disposal)</w:t>
            </w:r>
          </w:p>
        </w:tc>
        <w:tc>
          <w:tcPr/>
          <w:p>
            <w:pPr>
              <w:pStyle w:val="Compact"/>
              <w:jc w:val="left"/>
            </w:pPr>
            <w:r>
              <w:t xml:space="preserve">0.11</w:t>
            </w:r>
          </w:p>
        </w:tc>
      </w:tr>
      <w:tr>
        <w:tc>
          <w:tcPr>
            <w:gridSpan w:val="2"/>
          </w:tcPr>
          <w:p>
            <w:pPr>
              <w:pStyle w:val="Compact"/>
              <w:jc w:val="left"/>
            </w:pPr>
            <w:r>
              <w:rPr>
                <w:bCs/>
                <w:b/>
              </w:rPr>
              <w:t xml:space="preserve">Total Full Lifecycle PCF</w:t>
            </w:r>
          </w:p>
        </w:tc>
        <w:tc>
          <w:tcPr/>
          <w:p>
            <w:pPr>
              <w:pStyle w:val="Compact"/>
              <w:jc w:val="left"/>
            </w:pPr>
            <w:r>
              <w:rPr>
                <w:bCs/>
                <w:b/>
              </w:rPr>
              <w:t xml:space="preserve">31.82</w:t>
            </w:r>
          </w:p>
        </w:tc>
      </w:tr>
    </w:tbl>
    <w:bookmarkEnd w:id="45"/>
    <w:bookmarkEnd w:id="46"/>
    <w:bookmarkEnd w:id="47"/>
    <w:p>
      <w:r>
        <w:pict>
          <v:rect style="width:0;height:1.5pt" o:hralign="center" o:hrstd="t" o:hr="t"/>
        </w:pict>
      </w:r>
    </w:p>
    <w:bookmarkStart w:id="51" w:name="review-reporting"/>
    <w:p>
      <w:pPr>
        <w:pStyle w:val="Heading2"/>
      </w:pPr>
      <w:r>
        <w:t xml:space="preserve">5. Review &amp; Reporting</w:t>
      </w:r>
    </w:p>
    <w:bookmarkStart w:id="48" w:name="hotspot-analysis"/>
    <w:p>
      <w:pPr>
        <w:pStyle w:val="Heading3"/>
      </w:pPr>
      <w:r>
        <w:t xml:space="preserve">5.1. Hotspot Analysis</w:t>
      </w:r>
    </w:p>
    <w:p>
      <w:pPr>
        <w:pStyle w:val="FirstParagraph"/>
      </w:pPr>
      <w:r>
        <w:t xml:space="preserve">The analysis identifies the following key emission hotspots for vfxzfvkvew:</w:t>
      </w:r>
    </w:p>
    <w:p>
      <w:pPr>
        <w:numPr>
          <w:ilvl w:val="0"/>
          <w:numId w:val="1013"/>
        </w:numPr>
        <w:pStyle w:val="Compact"/>
      </w:pPr>
      <w:r>
        <w:rPr>
          <w:bCs/>
          <w:b/>
        </w:rPr>
        <w:t xml:space="preserve">Use Phase (39.3%):</w:t>
      </w:r>
      <w:r>
        <w:t xml:space="preserve"> </w:t>
      </w:r>
      <w:r>
        <w:t xml:space="preserve">The largest contributor due to product energy consumption over its 5-year lifespan. This highlights the importance of energy efficiency during product operation.</w:t>
      </w:r>
    </w:p>
    <w:p>
      <w:pPr>
        <w:numPr>
          <w:ilvl w:val="0"/>
          <w:numId w:val="1013"/>
        </w:numPr>
        <w:pStyle w:val="Compact"/>
      </w:pPr>
      <w:r>
        <w:rPr>
          <w:bCs/>
          <w:b/>
        </w:rPr>
        <w:t xml:space="preserve">Material Acquisition &amp; Pre-processing (31.8%):</w:t>
      </w:r>
      <w:r>
        <w:t xml:space="preserve"> </w:t>
      </w:r>
      <w:r>
        <w:t xml:space="preserve">Emissions embedded in raw materials, particularly the Lithium-ion Battery and Aluminum Casing, represent a significant portion of the footprint.</w:t>
      </w:r>
    </w:p>
    <w:p>
      <w:pPr>
        <w:numPr>
          <w:ilvl w:val="0"/>
          <w:numId w:val="1013"/>
        </w:numPr>
        <w:pStyle w:val="Compact"/>
      </w:pPr>
      <w:r>
        <w:rPr>
          <w:bCs/>
          <w:b/>
        </w:rPr>
        <w:t xml:space="preserve">Production Energy (Scope 2) (27.5%):</w:t>
      </w:r>
      <w:r>
        <w:t xml:space="preserve"> </w:t>
      </w:r>
      <w:r>
        <w:t xml:space="preserve">Although 75% renewable energy is used, the remaining non-renewable electricity consumption still contributes substantially.</w:t>
      </w:r>
    </w:p>
    <w:p>
      <w:pPr>
        <w:numPr>
          <w:ilvl w:val="0"/>
          <w:numId w:val="1013"/>
        </w:numPr>
        <w:pStyle w:val="Compact"/>
      </w:pPr>
      <w:r>
        <w:rPr>
          <w:bCs/>
          <w:b/>
        </w:rPr>
        <w:t xml:space="preserve">Transport and End-of-Life:</w:t>
      </w:r>
      <w:r>
        <w:t xml:space="preserve"> </w:t>
      </w:r>
      <w:r>
        <w:t xml:space="preserve">These stages contribute a smaller percentage but are still important for a complete lifecycle view and have reduction potential.</w:t>
      </w:r>
    </w:p>
    <w:bookmarkEnd w:id="48"/>
    <w:bookmarkStart w:id="49" w:name="reliability-limitations"/>
    <w:p>
      <w:pPr>
        <w:pStyle w:val="Heading3"/>
      </w:pPr>
      <w:r>
        <w:t xml:space="preserve">5.2. Reliability &amp; Limitations</w:t>
      </w:r>
    </w:p>
    <w:p>
      <w:pPr>
        <w:pStyle w:val="FirstParagraph"/>
      </w:pPr>
      <w:r>
        <w:t xml:space="preserve">The reliability of this PCF is considered high for material and production energy stages due to the use of specific BOM data and company-provided energy usage. However, the following limitations should be noted:</w:t>
      </w:r>
    </w:p>
    <w:p>
      <w:pPr>
        <w:numPr>
          <w:ilvl w:val="0"/>
          <w:numId w:val="1014"/>
        </w:numPr>
        <w:pStyle w:val="Compact"/>
      </w:pPr>
      <w:r>
        <w:t xml:space="preserve">Several parameters (e.g., transport mode/distance, energy consumption in use, recyclability) were based on reasonable industry estimates and assumptions due to the placeholder nature of the input values. Actual primary data for these parameters would further refine the accuracy.</w:t>
      </w:r>
    </w:p>
    <w:p>
      <w:pPr>
        <w:numPr>
          <w:ilvl w:val="0"/>
          <w:numId w:val="1014"/>
        </w:numPr>
        <w:pStyle w:val="Compact"/>
      </w:pPr>
      <w:r>
        <w:t xml:space="preserve">Emission factors for general categories are drawn from reputable databases (e.g., Ecoinvent/DEFRA type values) but are generalized.</w:t>
      </w:r>
    </w:p>
    <w:p>
      <w:pPr>
        <w:numPr>
          <w:ilvl w:val="0"/>
          <w:numId w:val="1014"/>
        </w:numPr>
        <w:pStyle w:val="Compact"/>
      </w:pPr>
      <w:r>
        <w:t xml:space="preserve">The 2026 LSR Standard for land use and carbon removals has been conceptually acknowledged. However, specific land-use change data was not available for direct quantification, and thus, potential removals are not numerically included in this report.</w:t>
      </w:r>
    </w:p>
    <w:p>
      <w:pPr>
        <w:numPr>
          <w:ilvl w:val="0"/>
          <w:numId w:val="1014"/>
        </w:numPr>
        <w:pStyle w:val="Compact"/>
      </w:pPr>
      <w:r>
        <w:t xml:space="preserve">Scope 3 coverage is comprehensive, exceeding 95% as per 2026 requirements, focusing on the most material categories.</w:t>
      </w:r>
    </w:p>
    <w:bookmarkEnd w:id="49"/>
    <w:bookmarkStart w:id="50" w:name="key-insights-and-recommendations"/>
    <w:p>
      <w:pPr>
        <w:pStyle w:val="Heading3"/>
      </w:pPr>
      <w:r>
        <w:t xml:space="preserve">5.3. Key Insights and Recommendations</w:t>
      </w:r>
    </w:p>
    <w:p>
      <w:pPr>
        <w:numPr>
          <w:ilvl w:val="0"/>
          <w:numId w:val="1015"/>
        </w:numPr>
        <w:pStyle w:val="Compact"/>
      </w:pPr>
      <w:r>
        <w:rPr>
          <w:bCs/>
          <w:b/>
        </w:rPr>
        <w:t xml:space="preserve">Prioritize Use Phase Efficiency:</w:t>
      </w:r>
      <w:r>
        <w:t xml:space="preserve"> </w:t>
      </w:r>
      <w:r>
        <w:t xml:space="preserve">Given its significant contribution, further innovations in product design to minimize energy consumption during use would yield the greatest reductions in PCF.</w:t>
      </w:r>
    </w:p>
    <w:p>
      <w:pPr>
        <w:numPr>
          <w:ilvl w:val="0"/>
          <w:numId w:val="1015"/>
        </w:numPr>
        <w:pStyle w:val="Compact"/>
      </w:pPr>
      <w:r>
        <w:rPr>
          <w:bCs/>
          <w:b/>
        </w:rPr>
        <w:t xml:space="preserve">Material Optimization:</w:t>
      </w:r>
      <w:r>
        <w:t xml:space="preserve"> </w:t>
      </w:r>
      <w:r>
        <w:t xml:space="preserve">Explore options for lower-carbon materials, increased recycled content, or alternative material sourcing strategies to reduce the impact of raw material acquisition.</w:t>
      </w:r>
    </w:p>
    <w:p>
      <w:pPr>
        <w:numPr>
          <w:ilvl w:val="0"/>
          <w:numId w:val="1015"/>
        </w:numPr>
        <w:pStyle w:val="Compact"/>
      </w:pPr>
      <w:r>
        <w:rPr>
          <w:bCs/>
          <w:b/>
        </w:rPr>
        <w:t xml:space="preserve">Increase Renewable Energy:</w:t>
      </w:r>
      <w:r>
        <w:t xml:space="preserve"> </w:t>
      </w:r>
      <w:r>
        <w:t xml:space="preserve">While 75% renewable energy usage is commendable, further increasing this percentage at production facilities can further reduce Scope 2 emissions.</w:t>
      </w:r>
    </w:p>
    <w:p>
      <w:pPr>
        <w:numPr>
          <w:ilvl w:val="0"/>
          <w:numId w:val="1015"/>
        </w:numPr>
        <w:pStyle w:val="Compact"/>
      </w:pPr>
      <w:r>
        <w:rPr>
          <w:bCs/>
          <w:b/>
        </w:rPr>
        <w:t xml:space="preserve">Enhance Circularity:</w:t>
      </w:r>
      <w:r>
        <w:t xml:space="preserve"> </w:t>
      </w:r>
      <w:r>
        <w:t xml:space="preserve">Continue to invest in and promote circular economy initiatives like the Product Buy-back Program to maximize material recovery and minimize waste at End-of-Life, potentially leading to future emission credits in full circular assessments.</w:t>
      </w:r>
    </w:p>
    <w:p>
      <w:pPr>
        <w:numPr>
          <w:ilvl w:val="0"/>
          <w:numId w:val="1015"/>
        </w:numPr>
        <w:pStyle w:val="Compact"/>
      </w:pPr>
      <w:r>
        <w:rPr>
          <w:bCs/>
          <w:b/>
        </w:rPr>
        <w:t xml:space="preserve">Data Refinement:</w:t>
      </w:r>
      <w:r>
        <w:t xml:space="preserve"> </w:t>
      </w:r>
      <w:r>
        <w:t xml:space="preserve">Collect more granular primary data for transport distances, last-mile delivery specifics, and actual energy consumption profiles across different user behaviors for a more precise PCF.</w:t>
      </w:r>
    </w:p>
    <w:bookmarkEnd w:id="50"/>
    <w:bookmarkEnd w:id="5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vfxzfvkvew</dc:title>
  <dc:creator/>
  <dc:description>High-detail Product Carbon Footprint (PCF) analysis for vfxzfvkvew, conducted by pigjxulwhy, a Senior Sustainability Consultant for lvkvxrikjo, adhering to GHG Protocol standards and 2026 LSR Update.</dc:description>
  <dc:language>en</dc:language>
  <cp:keywords/>
  <dcterms:created xsi:type="dcterms:W3CDTF">2026-07-15T12:47:57Z</dcterms:created>
  <dcterms:modified xsi:type="dcterms:W3CDTF">2026-07-15T12:47:57Z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