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vfvtvpiwkr</w:t>
      </w:r>
      <w:r>
        <w:t xml:space="preserve"> </w:t>
      </w:r>
      <w:r>
        <w:t xml:space="preserve">-</w:t>
      </w:r>
      <w:r>
        <w:t xml:space="preserve"> </w:t>
      </w:r>
      <w:r>
        <w:t xml:space="preserve">ulrkjphkeh</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product-vfvtvpiwkr"/>
    <w:p>
      <w:pPr>
        <w:pStyle w:val="Heading2"/>
      </w:pPr>
      <w:r>
        <w:t xml:space="preserve">Product: vfvtvpiwkr</w:t>
      </w:r>
    </w:p>
    <w:p>
      <w:pPr>
        <w:pStyle w:val="FirstParagraph"/>
      </w:pPr>
      <w:r>
        <w:rPr>
          <w:bCs/>
          <w:b/>
        </w:rPr>
        <w:t xml:space="preserve">Company:</w:t>
      </w:r>
      <w:r>
        <w:t xml:space="preserve"> </w:t>
      </w:r>
      <w:r>
        <w:t xml:space="preserve">ulrkjphkeh</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llhvmwjdzp</w:t>
      </w:r>
    </w:p>
    <w:p>
      <w:pPr>
        <w:pStyle w:val="BodyText"/>
      </w:pPr>
      <w:r>
        <w:t xml:space="preserve">This report is generated based on available data and industry standards. While every effort has been made to ensure accuracy, the actual environmental impact may vary.</w:t>
      </w:r>
    </w:p>
    <w:bookmarkEnd w:id="20"/>
    <w:bookmarkEnd w:id="21"/>
    <w:bookmarkStart w:id="47" w:name="product-carbon-footprint-report"/>
    <w:p>
      <w:pPr>
        <w:pStyle w:val="Heading1"/>
      </w:pPr>
      <w:r>
        <w:t xml:space="preserve">Product Carbon Footprint Report</w:t>
      </w:r>
    </w:p>
    <w:p>
      <w:pPr>
        <w:pStyle w:val="FirstParagraph"/>
      </w:pPr>
      <w:r>
        <w:rPr>
          <w:bCs/>
          <w:b/>
        </w:rPr>
        <w:t xml:space="preserve">Generated Date:</w:t>
      </w:r>
      <w:r>
        <w:t xml:space="preserve"> </w:t>
      </w:r>
      <w:r>
        <w:t xml:space="preserve">May 20, 2026</w:t>
      </w:r>
    </w:p>
    <w:p>
      <w:r>
        <w:pict>
          <v:rect style="width:0;height:1.5pt" o:hralign="center" o:hrstd="t" o:hr="t"/>
        </w:pict>
      </w:r>
    </w:p>
    <w:bookmarkStart w:id="22" w:name="executive-summary"/>
    <w:p>
      <w:pPr>
        <w:pStyle w:val="Heading2"/>
      </w:pPr>
      <w:r>
        <w:t xml:space="preserve">1. Executive Summary</w:t>
      </w:r>
    </w:p>
    <w:p>
      <w:pPr>
        <w:pStyle w:val="FirstParagraph"/>
      </w:pPr>
      <w:r>
        <w:t xml:space="preserve">This report presents a high-detail Product Carbon Footprint (PCF) analysis for the product</w:t>
      </w:r>
      <w:r>
        <w:t xml:space="preserve"> </w:t>
      </w:r>
      <w:r>
        <w:rPr>
          <w:bCs/>
          <w:b/>
        </w:rPr>
        <w:t xml:space="preserve">vfvtvpiwkr</w:t>
      </w:r>
      <w:r>
        <w:t xml:space="preserve">, manufactured by</w:t>
      </w:r>
      <w:r>
        <w:t xml:space="preserve"> </w:t>
      </w:r>
      <w:r>
        <w:rPr>
          <w:bCs/>
          <w:b/>
        </w:rPr>
        <w:t xml:space="preserve">ulrkjphkeh</w:t>
      </w:r>
      <w:r>
        <w:t xml:space="preserve">. The analysis adheres strictly to the GHG Protocol standards, including the 2026 Land Sector and Removals (LSR) update, and aims for at least 95% Scope 3 coverage. The PCF quantifies the total greenhouse gas (GHG) emissions associated with the product across its entire lifecycle, from raw material acquisition to end-of-life, expressed in kilograms of carbon dioxide equivalent (kg CO2e) per functional unit of 1.0 unit. The total gross cradle-to-grave carbon footprint for</w:t>
      </w:r>
      <w:r>
        <w:t xml:space="preserve"> </w:t>
      </w:r>
      <w:r>
        <w:rPr>
          <w:bCs/>
          <w:b/>
        </w:rPr>
        <w:t xml:space="preserve">vfvtvpiwkr</w:t>
      </w:r>
      <w:r>
        <w:t xml:space="preserve"> </w:t>
      </w:r>
      <w:r>
        <w:t xml:space="preserve">is estimated at</w:t>
      </w:r>
      <w:r>
        <w:t xml:space="preserve"> </w:t>
      </w:r>
      <w:r>
        <w:rPr>
          <w:bCs/>
          <w:b/>
        </w:rPr>
        <w:t xml:space="preserve">20.50 kg CO2e per unit</w:t>
      </w:r>
      <w:r>
        <w:t xml:space="preserve">. Considering avoided emissions from recycling, the net footprint is reduced to</w:t>
      </w:r>
      <w:r>
        <w:t xml:space="preserve"> </w:t>
      </w:r>
      <w:r>
        <w:rPr>
          <w:bCs/>
          <w:b/>
        </w:rPr>
        <w:t xml:space="preserve">20.13 kg CO2e per unit</w:t>
      </w:r>
      <w:r>
        <w:t xml:space="preserve">.</w:t>
      </w:r>
    </w:p>
    <w:p>
      <w:r>
        <w:pict>
          <v:rect style="width:0;height:1.5pt" o:hralign="center" o:hrstd="t" o:hr="t"/>
        </w:pict>
      </w:r>
    </w:p>
    <w:bookmarkEnd w:id="22"/>
    <w:bookmarkStart w:id="23" w:name="scope-definition"/>
    <w:p>
      <w:pPr>
        <w:pStyle w:val="Heading2"/>
      </w:pPr>
      <w:r>
        <w:t xml:space="preserve">2. Scope Definition</w:t>
      </w:r>
    </w:p>
    <w:p>
      <w:pPr>
        <w:numPr>
          <w:ilvl w:val="0"/>
          <w:numId w:val="1001"/>
        </w:numPr>
        <w:pStyle w:val="Compact"/>
      </w:pPr>
      <w:r>
        <w:rPr>
          <w:bCs/>
          <w:b/>
        </w:rPr>
        <w:t xml:space="preserve">Functional Unit:</w:t>
      </w:r>
      <w:r>
        <w:t xml:space="preserve"> </w:t>
      </w:r>
      <w:r>
        <w:t xml:space="preserve">1.0 unit of vfvtvpiwkr.</w:t>
      </w:r>
    </w:p>
    <w:p>
      <w:pPr>
        <w:numPr>
          <w:ilvl w:val="0"/>
          <w:numId w:val="1001"/>
        </w:numPr>
        <w:pStyle w:val="Compact"/>
      </w:pPr>
      <w:r>
        <w:rPr>
          <w:bCs/>
          <w:b/>
        </w:rPr>
        <w:t xml:space="preserve">System Boundary:</w:t>
      </w:r>
      <w:r>
        <w:t xml:space="preserve"> </w:t>
      </w:r>
      <w:r>
        <w:t xml:space="preserve">Cradle-to-grave, encompassing all stages from raw material extraction and processing, manufacturing, distribution, use, to end-of-life treatment. While the internal system boundary for direct production is \'factory_gate\', the comprehensive assessment extends across the entire value chain.</w:t>
      </w:r>
    </w:p>
    <w:p>
      <w:pPr>
        <w:numPr>
          <w:ilvl w:val="0"/>
          <w:numId w:val="1001"/>
        </w:numPr>
        <w:pStyle w:val="Compact"/>
      </w:pPr>
      <w:r>
        <w:rPr>
          <w:bCs/>
          <w:b/>
        </w:rPr>
        <w:t xml:space="preserve">Geographic Scope:</w:t>
      </w:r>
      <w:r>
        <w:t xml:space="preserve"> </w:t>
      </w:r>
      <w:r>
        <w:t xml:space="preserve">Final Production Country: China; Supply Chain Focus: Europe Focused (for the use phase energy).</w:t>
      </w:r>
    </w:p>
    <w:p>
      <w:pPr>
        <w:numPr>
          <w:ilvl w:val="0"/>
          <w:numId w:val="1001"/>
        </w:numPr>
        <w:pStyle w:val="Compact"/>
      </w:pPr>
      <w:r>
        <w:rPr>
          <w:bCs/>
          <w:b/>
        </w:rPr>
        <w:t xml:space="preserve">Accounting Standard:</w:t>
      </w:r>
      <w:r>
        <w:t xml:space="preserve"> </w:t>
      </w:r>
      <w:r>
        <w:t xml:space="preserve">This analysis strictly follows the GHG Protocol Product Standard, categorizing emissions into Scope 1, Scope 2, and Scope 3, with a particular focus on comprehensive Scope 3 reporting.</w:t>
      </w:r>
    </w:p>
    <w:p>
      <w:pPr>
        <w:numPr>
          <w:ilvl w:val="0"/>
          <w:numId w:val="1001"/>
        </w:numPr>
        <w:pStyle w:val="Compact"/>
      </w:pPr>
      <w:r>
        <w:rPr>
          <w:bCs/>
          <w:b/>
        </w:rPr>
        <w:t xml:space="preserve">Allocation:</w:t>
      </w:r>
      <w:r>
        <w:t xml:space="preserve"> </w:t>
      </w:r>
      <w:r>
        <w:t xml:space="preserve">Emissions are allocated directly to the functional unit based on mass, energy consumption, and distance-based transport.</w:t>
      </w:r>
    </w:p>
    <w:p>
      <w:r>
        <w:pict>
          <v:rect style="width:0;height:1.5pt" o:hralign="center" o:hrstd="t" o:hr="t"/>
        </w:pict>
      </w:r>
    </w:p>
    <w:bookmarkEnd w:id="23"/>
    <w:bookmarkStart w:id="29" w:name="X87b3dd652347a37d2f52b280dac9fdbf1948e21"/>
    <w:p>
      <w:pPr>
        <w:pStyle w:val="Heading2"/>
      </w:pPr>
      <w:r>
        <w:t xml:space="preserve">3. Methodology (LCI Inventory &amp; Data Collection)</w:t>
      </w:r>
    </w:p>
    <w:p>
      <w:pPr>
        <w:pStyle w:val="FirstParagraph"/>
      </w:pPr>
      <w:r>
        <w:t xml:space="preserve">As</w:t>
      </w:r>
      <w:r>
        <w:t xml:space="preserve"> </w:t>
      </w:r>
      <w:r>
        <w:rPr>
          <w:bCs/>
          <w:b/>
        </w:rPr>
        <w:t xml:space="preserve">llhvmwjdzp</w:t>
      </w:r>
      <w:r>
        <w:t xml:space="preserve">, Senior Sustainability Consultant, the following methodology has been rigorously applied:</w:t>
      </w:r>
    </w:p>
    <w:p>
      <w:pPr>
        <w:numPr>
          <w:ilvl w:val="0"/>
          <w:numId w:val="1002"/>
        </w:numPr>
        <w:pStyle w:val="Compact"/>
      </w:pPr>
      <w:r>
        <w:rPr>
          <w:bCs/>
          <w:b/>
        </w:rPr>
        <w:t xml:space="preserve">Define Scope:</w:t>
      </w:r>
      <w:r>
        <w:t xml:space="preserve"> </w:t>
      </w:r>
      <w:r>
        <w:t xml:space="preserve">As outlined above, the functional unit, system boundaries (cradle-to-grave), geographic scope, and allocation methods were clearly established.</w:t>
      </w:r>
    </w:p>
    <w:p>
      <w:pPr>
        <w:numPr>
          <w:ilvl w:val="0"/>
          <w:numId w:val="1002"/>
        </w:numPr>
        <w:pStyle w:val="Compact"/>
      </w:pPr>
      <w:r>
        <w:rPr>
          <w:bCs/>
          <w:b/>
        </w:rPr>
        <w:t xml:space="preserve">Map Lifecycle (LCI inventory stages):</w:t>
      </w:r>
      <w:r>
        <w:t xml:space="preserve"> </w:t>
      </w:r>
      <w:r>
        <w:t xml:space="preserve">The lifecycle of</w:t>
      </w:r>
      <w:r>
        <w:t xml:space="preserve"> </w:t>
      </w:r>
      <w:r>
        <w:rPr>
          <w:bCs/>
          <w:b/>
        </w:rPr>
        <w:t xml:space="preserve">vfvtvpiwkr</w:t>
      </w:r>
      <w:r>
        <w:t xml:space="preserve"> </w:t>
      </w:r>
      <w:r>
        <w:t xml:space="preserve">has been mapped into five distinct stages: Material Acquisition &amp; Pre-processing, Manufacturing, Transport &amp; Distribution, Use Phase, and End-of-Life. This provides a clear framework for data collection and emission calculation.</w:t>
      </w:r>
    </w:p>
    <w:p>
      <w:pPr>
        <w:numPr>
          <w:ilvl w:val="0"/>
          <w:numId w:val="1002"/>
        </w:numPr>
      </w:pPr>
      <w:r>
        <w:rPr>
          <w:bCs/>
          <w:b/>
        </w:rPr>
        <w:t xml:space="preserve">Collect Data (Primary/Secondary data points):</w:t>
      </w:r>
      <w:r>
        <w:t xml:space="preserve"> </w:t>
      </w:r>
      <w:r>
        <w:t xml:space="preserve">A combination of primary data (provided parameters) and secondary, industry-standard emission factors has been used. The detailed Bill of Materials (BOM) was critical for material impact.</w:t>
      </w:r>
    </w:p>
    <w:p>
      <w:pPr>
        <w:numPr>
          <w:ilvl w:val="0"/>
          <w:numId w:val="1000"/>
        </w:numPr>
        <w:pStyle w:val="Heading3"/>
      </w:pPr>
      <w:bookmarkStart w:id="24" w:name="X375f90d34e2738bf774185f3c83efd090ce459a"/>
      <w:r>
        <w:t xml:space="preserve">Detailed Breakdown of Materials and Energy Inputs:</w:t>
      </w:r>
      <w:bookmarkEnd w:id="24"/>
    </w:p>
    <w:p>
      <w:pPr>
        <w:numPr>
          <w:ilvl w:val="0"/>
          <w:numId w:val="1000"/>
        </w:numPr>
        <w:pStyle w:val="Heading4"/>
      </w:pPr>
      <w:bookmarkStart w:id="25" w:name="bill-of-materials-bom-for-vfvtvpiwkr"/>
      <w:r>
        <w:t xml:space="preserve">Bill of Materials (BOM) for vfvtvpiwkr:</w:t>
      </w:r>
      <w:bookmarkEnd w:id="25"/>
    </w:p>
    <w:p>
      <w:pPr>
        <w:numPr>
          <w:ilvl w:val="0"/>
          <w:numId w:val="1000"/>
        </w:numPr>
      </w:pPr>
      <w:r>
        <w:t xml:space="preserve">The following detailed Bill of Materials (BOM) for</w:t>
      </w:r>
      <w:r>
        <w:t xml:space="preserve"> </w:t>
      </w:r>
      <w:r>
        <w:rPr>
          <w:bCs/>
          <w:b/>
        </w:rPr>
        <w:t xml:space="preserve">vfvtvpiwkr</w:t>
      </w:r>
      <w:r>
        <w:t xml:space="preserve"> </w:t>
      </w:r>
      <w:r>
        <w:t xml:space="preserve">was used for high-accuracy material impact calculation:</w:t>
      </w:r>
    </w:p>
    <w:tbl>
      <w:tblPr>
        <w:tblStyle w:val="Table"/>
        <w:tblW w:type="auto" w:w="0"/>
        <w:tblLook w:firstRow="1" w:lastRow="0" w:firstColumn="0" w:lastColumn="0" w:noHBand="0" w:noVBand="0" w:val="0020"/>
        <w:jc w:val="start"/>
        <w:tblInd w:w="720" w:type="dxa"/>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2</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w:t>
            </w:r>
          </w:p>
        </w:tc>
      </w:tr>
      <w:tr>
        <w:tc>
          <w:tcPr/>
          <w:p>
            <w:pPr>
              <w:pStyle w:val="Compact"/>
              <w:jc w:val="left"/>
            </w:pPr>
            <w:r>
              <w:t xml:space="preserve">3</w:t>
            </w:r>
          </w:p>
        </w:tc>
        <w:tc>
          <w:tcPr/>
          <w:p>
            <w:pPr>
              <w:pStyle w:val="Compact"/>
              <w:jc w:val="left"/>
            </w:pPr>
            <w:r>
              <w:t xml:space="preserve">Battery</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8.0</w:t>
            </w:r>
          </w:p>
        </w:tc>
        <w:tc>
          <w:tcPr/>
          <w:p>
            <w:pPr>
              <w:pStyle w:val="Compact"/>
              <w:jc w:val="left"/>
            </w:pPr>
            <w:r>
              <w:t xml:space="preserve">0.4</w:t>
            </w:r>
          </w:p>
        </w:tc>
      </w:tr>
      <w:tr>
        <w:tc>
          <w:tcPr/>
          <w:p>
            <w:pPr>
              <w:pStyle w:val="Compact"/>
              <w:jc w:val="left"/>
            </w:pPr>
            <w:r>
              <w:t xml:space="preserve">4</w:t>
            </w:r>
          </w:p>
        </w:tc>
        <w:tc>
          <w:tcPr/>
          <w:p>
            <w:pPr>
              <w:pStyle w:val="Compact"/>
              <w:jc w:val="left"/>
            </w:pPr>
            <w:r>
              <w:t xml:space="preserve">Display</w:t>
            </w:r>
          </w:p>
        </w:tc>
        <w:tc>
          <w:tcPr/>
          <w:p>
            <w:pPr>
              <w:pStyle w:val="Compact"/>
              <w:jc w:val="left"/>
            </w:pPr>
            <w:r>
              <w:t xml:space="preserve">Glass/Electronics</w:t>
            </w:r>
          </w:p>
        </w:tc>
        <w:tc>
          <w:tcPr/>
          <w:p>
            <w:pPr>
              <w:pStyle w:val="Compact"/>
              <w:jc w:val="left"/>
            </w:pPr>
            <w:r>
              <w:t xml:space="preserve">Assembly</w:t>
            </w:r>
          </w:p>
        </w:tc>
        <w:tc>
          <w:tcPr/>
          <w:p>
            <w:pPr>
              <w:pStyle w:val="Compact"/>
              <w:jc w:val="left"/>
            </w:pPr>
            <w:r>
              <w:t xml:space="preserve">0.08</w:t>
            </w:r>
          </w:p>
        </w:tc>
        <w:tc>
          <w:tcPr/>
          <w:p>
            <w:pPr>
              <w:pStyle w:val="Compact"/>
              <w:jc w:val="left"/>
            </w:pPr>
            <w:r>
              <w:t xml:space="preserve">unit</w:t>
            </w:r>
          </w:p>
        </w:tc>
        <w:tc>
          <w:tcPr/>
          <w:p>
            <w:pPr>
              <w:pStyle w:val="Compact"/>
              <w:jc w:val="left"/>
            </w:pPr>
            <w:r>
              <w:t xml:space="preserve">10.0</w:t>
            </w:r>
          </w:p>
        </w:tc>
        <w:tc>
          <w:tcPr/>
          <w:p>
            <w:pPr>
              <w:pStyle w:val="Compact"/>
              <w:jc w:val="left"/>
            </w:pPr>
            <w:r>
              <w:t xml:space="preserve">0.8</w:t>
            </w:r>
          </w:p>
        </w:tc>
      </w:tr>
      <w:tr>
        <w:tc>
          <w:tcPr/>
          <w:p>
            <w:pPr>
              <w:pStyle w:val="Compact"/>
              <w:jc w:val="left"/>
            </w:pPr>
            <w:r>
              <w:t xml:space="preserve">5</w:t>
            </w:r>
          </w:p>
        </w:tc>
        <w:tc>
          <w:tcPr/>
          <w:p>
            <w:pPr>
              <w:pStyle w:val="Compact"/>
              <w:jc w:val="left"/>
            </w:pPr>
            <w:r>
              <w:t xml:space="preserve">Packaging</w:t>
            </w:r>
          </w:p>
        </w:tc>
        <w:tc>
          <w:tcPr/>
          <w:p>
            <w:pPr>
              <w:pStyle w:val="Compact"/>
              <w:jc w:val="left"/>
            </w:pPr>
            <w:r>
              <w:t xml:space="preserve">Cardboard</w:t>
            </w:r>
          </w:p>
        </w:tc>
        <w:tc>
          <w:tcPr/>
          <w:p>
            <w:pPr>
              <w:pStyle w:val="Compact"/>
              <w:jc w:val="left"/>
            </w:pPr>
            <w:r>
              <w:t xml:space="preserve">Processing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0.8</w:t>
            </w:r>
          </w:p>
        </w:tc>
        <w:tc>
          <w:tcPr/>
          <w:p>
            <w:pPr>
              <w:pStyle w:val="Compact"/>
              <w:jc w:val="left"/>
            </w:pPr>
            <w:r>
              <w:t xml:space="preserve">0.16</w:t>
            </w:r>
          </w:p>
        </w:tc>
      </w:tr>
    </w:tbl>
    <w:p>
      <w:pPr>
        <w:numPr>
          <w:ilvl w:val="0"/>
          <w:numId w:val="1000"/>
        </w:numPr>
        <w:pStyle w:val="Heading4"/>
      </w:pPr>
      <w:bookmarkStart w:id="26" w:name="energy-inputs"/>
      <w:r>
        <w:t xml:space="preserve">Energy Inputs:</w:t>
      </w:r>
      <w:bookmarkEnd w:id="26"/>
    </w:p>
    <w:p>
      <w:pPr>
        <w:numPr>
          <w:ilvl w:val="1"/>
          <w:numId w:val="1003"/>
        </w:numPr>
        <w:pStyle w:val="Compact"/>
      </w:pPr>
      <w:r>
        <w:rPr>
          <w:bCs/>
          <w:b/>
        </w:rPr>
        <w:t xml:space="preserve">Production Energy Intensity:</w:t>
      </w:r>
      <w:r>
        <w:t xml:space="preserve"> </w:t>
      </w:r>
      <w:r>
        <w:t xml:space="preserve">50 kWh/unit [cite: mwfkgvjgxs]</w:t>
      </w:r>
    </w:p>
    <w:p>
      <w:pPr>
        <w:numPr>
          <w:ilvl w:val="1"/>
          <w:numId w:val="1003"/>
        </w:numPr>
        <w:pStyle w:val="Compact"/>
      </w:pPr>
      <w:r>
        <w:rPr>
          <w:bCs/>
          <w:b/>
        </w:rPr>
        <w:t xml:space="preserve">Renewable Energy Usage (Production):</w:t>
      </w:r>
      <w:r>
        <w:t xml:space="preserve"> </w:t>
      </w:r>
      <w:r>
        <w:t xml:space="preserve">75% [cite: lkrjqkxgly]</w:t>
      </w:r>
    </w:p>
    <w:p>
      <w:pPr>
        <w:numPr>
          <w:ilvl w:val="1"/>
          <w:numId w:val="1003"/>
        </w:numPr>
        <w:pStyle w:val="Compact"/>
      </w:pPr>
      <w:r>
        <w:rPr>
          <w:bCs/>
          <w:b/>
        </w:rPr>
        <w:t xml:space="preserve">Energy Consumption in Use Phase:</w:t>
      </w:r>
      <w:r>
        <w:t xml:space="preserve"> </w:t>
      </w:r>
      <w:r>
        <w:t xml:space="preserve">10 kWh/year [cite: vxxnzeuskk]</w:t>
      </w:r>
    </w:p>
    <w:p>
      <w:pPr>
        <w:numPr>
          <w:ilvl w:val="0"/>
          <w:numId w:val="1000"/>
        </w:numPr>
        <w:pStyle w:val="Heading4"/>
      </w:pPr>
      <w:bookmarkStart w:id="27" w:name="logistics-data"/>
      <w:r>
        <w:t xml:space="preserve">Logistics Data:</w:t>
      </w:r>
      <w:bookmarkEnd w:id="27"/>
    </w:p>
    <w:p>
      <w:pPr>
        <w:numPr>
          <w:ilvl w:val="1"/>
          <w:numId w:val="1004"/>
        </w:numPr>
        <w:pStyle w:val="Compact"/>
      </w:pPr>
      <w:r>
        <w:rPr>
          <w:bCs/>
          <w:b/>
        </w:rPr>
        <w:t xml:space="preserve">Transport Mode:</w:t>
      </w:r>
      <w:r>
        <w:t xml:space="preserve"> </w:t>
      </w:r>
      <w:r>
        <w:t xml:space="preserve">Ocean Freight (Main Haul), Road Freight (Last-Mile) [cite: Select Mode]</w:t>
      </w:r>
    </w:p>
    <w:p>
      <w:pPr>
        <w:numPr>
          <w:ilvl w:val="1"/>
          <w:numId w:val="1004"/>
        </w:numPr>
        <w:pStyle w:val="Compact"/>
      </w:pPr>
      <w:r>
        <w:rPr>
          <w:bCs/>
          <w:b/>
        </w:rPr>
        <w:t xml:space="preserve">Transport Distance:</w:t>
      </w:r>
      <w:r>
        <w:t xml:space="preserve"> </w:t>
      </w:r>
      <w:r>
        <w:t xml:space="preserve">15000 km (Ocean), 500 km (Road) [cite: zgkjqflryn]</w:t>
      </w:r>
    </w:p>
    <w:p>
      <w:pPr>
        <w:numPr>
          <w:ilvl w:val="1"/>
          <w:numId w:val="1004"/>
        </w:numPr>
        <w:pStyle w:val="Compact"/>
      </w:pPr>
      <w:r>
        <w:rPr>
          <w:bCs/>
          <w:b/>
        </w:rPr>
        <w:t xml:space="preserve">Last-Mile Delivery Channel:</w:t>
      </w:r>
      <w:r>
        <w:t xml:space="preserve"> </w:t>
      </w:r>
      <w:r>
        <w:t xml:space="preserve">Standard Parcel Delivery [cite: Delivery Type]</w:t>
      </w:r>
    </w:p>
    <w:p>
      <w:pPr>
        <w:numPr>
          <w:ilvl w:val="0"/>
          <w:numId w:val="1000"/>
        </w:numPr>
        <w:pStyle w:val="Heading4"/>
      </w:pPr>
      <w:bookmarkStart w:id="28" w:name="end-of-life-data"/>
      <w:r>
        <w:t xml:space="preserve">End-of-Life Data:</w:t>
      </w:r>
      <w:bookmarkEnd w:id="28"/>
    </w:p>
    <w:p>
      <w:pPr>
        <w:numPr>
          <w:ilvl w:val="1"/>
          <w:numId w:val="1005"/>
        </w:numPr>
        <w:pStyle w:val="Compact"/>
      </w:pPr>
      <w:r>
        <w:rPr>
          <w:bCs/>
          <w:b/>
        </w:rPr>
        <w:t xml:space="preserve">Recyclability Percentage (potential):</w:t>
      </w:r>
      <w:r>
        <w:t xml:space="preserve"> </w:t>
      </w:r>
      <w:r>
        <w:t xml:space="preserve">80% [cite: demikqgyyg]</w:t>
      </w:r>
    </w:p>
    <w:p>
      <w:pPr>
        <w:numPr>
          <w:ilvl w:val="1"/>
          <w:numId w:val="1005"/>
        </w:numPr>
        <w:pStyle w:val="Compact"/>
      </w:pPr>
      <w:r>
        <w:rPr>
          <w:bCs/>
          <w:b/>
        </w:rPr>
        <w:t xml:space="preserve">Circular/Take-back Programs:</w:t>
      </w:r>
      <w:r>
        <w:t xml:space="preserve"> </w:t>
      </w:r>
      <w:r>
        <w:t xml:space="preserve">Existing take-back program with 50% return rate and 70% material recovery for returned products. [cite: zywrngfxus]</w:t>
      </w:r>
    </w:p>
    <w:p>
      <w:r>
        <w:pict>
          <v:rect style="width:0;height:1.5pt" o:hralign="center" o:hrstd="t" o:hr="t"/>
        </w:pict>
      </w:r>
    </w:p>
    <w:bookmarkEnd w:id="29"/>
    <w:bookmarkStart w:id="40" w:name="Xb404f6bea4a0013006ec7a9103609d9ea6643c1"/>
    <w:p>
      <w:pPr>
        <w:pStyle w:val="Heading2"/>
      </w:pPr>
      <w:r>
        <w:t xml:space="preserve">4. Calculate Emissions (Activity * Emission Factor = CO2e)</w:t>
      </w:r>
    </w:p>
    <w:p>
      <w:pPr>
        <w:pStyle w:val="FirstParagraph"/>
      </w:pPr>
      <w:r>
        <w:t xml:space="preserve">Emissions were calculated for each lifecycle stage using the provided data and selected industry-standard emission factors. All emission factors are based on recent data from reputable sources.</w:t>
      </w:r>
    </w:p>
    <w:bookmarkStart w:id="30" w:name="emission-factors-used"/>
    <w:p>
      <w:pPr>
        <w:pStyle w:val="Heading3"/>
      </w:pPr>
      <w:r>
        <w:t xml:space="preserve">Emission Factors Used:</w:t>
      </w:r>
    </w:p>
    <w:p>
      <w:pPr>
        <w:numPr>
          <w:ilvl w:val="0"/>
          <w:numId w:val="1006"/>
        </w:numPr>
        <w:pStyle w:val="Compact"/>
      </w:pPr>
      <w:r>
        <w:rPr>
          <w:bCs/>
          <w:b/>
        </w:rPr>
        <w:t xml:space="preserve">Electricity (China Production):</w:t>
      </w:r>
      <w:r>
        <w:t xml:space="preserve"> </w:t>
      </w:r>
      <w:r>
        <w:t xml:space="preserve">0.5568 kg CO2e/kWh (Ministry of Ecology and Environment of China, 2021)</w:t>
      </w:r>
    </w:p>
    <w:p>
      <w:pPr>
        <w:numPr>
          <w:ilvl w:val="0"/>
          <w:numId w:val="1006"/>
        </w:numPr>
        <w:pStyle w:val="Compact"/>
      </w:pPr>
      <w:r>
        <w:rPr>
          <w:bCs/>
          <w:b/>
        </w:rPr>
        <w:t xml:space="preserve">Electricity (Europe Use Phase):</w:t>
      </w:r>
      <w:r>
        <w:t xml:space="preserve"> </w:t>
      </w:r>
      <w:r>
        <w:t xml:space="preserve">0.181 kg CO2e/kWh (PwC France, 2024)</w:t>
      </w:r>
    </w:p>
    <w:p>
      <w:pPr>
        <w:numPr>
          <w:ilvl w:val="0"/>
          <w:numId w:val="1006"/>
        </w:numPr>
        <w:pStyle w:val="Compact"/>
      </w:pPr>
      <w:r>
        <w:rPr>
          <w:bCs/>
          <w:b/>
        </w:rPr>
        <w:t xml:space="preserve">Ocean Freight:</w:t>
      </w:r>
      <w:r>
        <w:t xml:space="preserve"> </w:t>
      </w:r>
      <w:r>
        <w:t xml:space="preserve">0.01612 kg CO2e/tonne-km (DEFRA/DESNZ, 2025 for container ships)</w:t>
      </w:r>
    </w:p>
    <w:p>
      <w:pPr>
        <w:numPr>
          <w:ilvl w:val="0"/>
          <w:numId w:val="1006"/>
        </w:numPr>
        <w:pStyle w:val="Compact"/>
      </w:pPr>
      <w:r>
        <w:rPr>
          <w:bCs/>
          <w:b/>
        </w:rPr>
        <w:t xml:space="preserve">Road Freight:</w:t>
      </w:r>
      <w:r>
        <w:t xml:space="preserve"> </w:t>
      </w:r>
      <w:r>
        <w:t xml:space="preserve">0.243 kg CO2e/tonne-km (Derived from Shift from Air to Sea freight data, 2025)</w:t>
      </w:r>
    </w:p>
    <w:p>
      <w:pPr>
        <w:numPr>
          <w:ilvl w:val="0"/>
          <w:numId w:val="1006"/>
        </w:numPr>
        <w:pStyle w:val="Compact"/>
      </w:pPr>
      <w:r>
        <w:rPr>
          <w:bCs/>
          <w:b/>
        </w:rPr>
        <w:t xml:space="preserve">Plastic Landfill:</w:t>
      </w:r>
      <w:r>
        <w:t xml:space="preserve"> </w:t>
      </w:r>
      <w:r>
        <w:t xml:space="preserve">0.033 kg CO2e/kg (Terrascope, 2024)</w:t>
      </w:r>
    </w:p>
    <w:p>
      <w:pPr>
        <w:numPr>
          <w:ilvl w:val="0"/>
          <w:numId w:val="1006"/>
        </w:numPr>
        <w:pStyle w:val="Compact"/>
      </w:pPr>
      <w:r>
        <w:rPr>
          <w:bCs/>
          <w:b/>
        </w:rPr>
        <w:t xml:space="preserve">Plastic Recycling Credit (Avoided Emissions):</w:t>
      </w:r>
      <w:r>
        <w:t xml:space="preserve"> </w:t>
      </w:r>
      <w:r>
        <w:t xml:space="preserve">1.08 kg CO2e/kg (Changeit - Climate Change)</w:t>
      </w:r>
    </w:p>
    <w:bookmarkEnd w:id="30"/>
    <w:bookmarkStart w:id="38" w:name="X3ad686126be87644d2acc9771d0d52cc84ba732"/>
    <w:p>
      <w:pPr>
        <w:pStyle w:val="Heading3"/>
      </w:pPr>
      <w:r>
        <w:t xml:space="preserve">GHG Emissions by Lifecycle Stage and Scope:</w:t>
      </w:r>
    </w:p>
    <w:bookmarkStart w:id="31" w:name="X981eeb94e503de7dbd8f7d757b5b0fa331583f0"/>
    <w:p>
      <w:pPr>
        <w:pStyle w:val="Heading4"/>
      </w:pPr>
      <w:r>
        <w:t xml:space="preserve">A. Material Acquisition &amp; Pre-processing (Scope 3, Category 1: Purchased Goods and Services)</w:t>
      </w:r>
    </w:p>
    <w:p>
      <w:pPr>
        <w:pStyle w:val="FirstParagraph"/>
      </w:pPr>
      <w:r>
        <w:t xml:space="preserve">This stage includes the extraction of raw materials, manufacturing of components, and initial processing as detailed in the Bill of Materials.</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Component</w:t>
            </w:r>
          </w:p>
        </w:tc>
        <w:tc>
          <w:tcPr/>
          <w:p>
            <w:pPr>
              <w:pStyle w:val="Compact"/>
              <w:jc w:val="left"/>
            </w:pPr>
            <w:r>
              <w:t xml:space="preserve">Total Carbon (kg CO2e)</w:t>
            </w:r>
          </w:p>
        </w:tc>
      </w:tr>
      <w:tr>
        <w:tc>
          <w:tcPr/>
          <w:p>
            <w:pPr>
              <w:pStyle w:val="Compact"/>
              <w:jc w:val="left"/>
            </w:pPr>
            <w:r>
              <w:t xml:space="preserve">Housing (Plastic)</w:t>
            </w:r>
          </w:p>
        </w:tc>
        <w:tc>
          <w:tcPr/>
          <w:p>
            <w:pPr>
              <w:pStyle w:val="Compact"/>
              <w:jc w:val="left"/>
            </w:pPr>
            <w:r>
              <w:t xml:space="preserve">1.25</w:t>
            </w:r>
          </w:p>
        </w:tc>
      </w:tr>
      <w:tr>
        <w:tc>
          <w:tcPr/>
          <w:p>
            <w:pPr>
              <w:pStyle w:val="Compact"/>
              <w:jc w:val="left"/>
            </w:pPr>
            <w:r>
              <w:t xml:space="preserve">Circuit Board (Electronics)</w:t>
            </w:r>
          </w:p>
        </w:tc>
        <w:tc>
          <w:tcPr/>
          <w:p>
            <w:pPr>
              <w:pStyle w:val="Compact"/>
              <w:jc w:val="left"/>
            </w:pPr>
            <w:r>
              <w:t xml:space="preserve">1.50</w:t>
            </w:r>
          </w:p>
        </w:tc>
      </w:tr>
      <w:tr>
        <w:tc>
          <w:tcPr/>
          <w:p>
            <w:pPr>
              <w:pStyle w:val="Compact"/>
              <w:jc w:val="left"/>
            </w:pPr>
            <w:r>
              <w:t xml:space="preserve">Battery (Battery)</w:t>
            </w:r>
          </w:p>
        </w:tc>
        <w:tc>
          <w:tcPr/>
          <w:p>
            <w:pPr>
              <w:pStyle w:val="Compact"/>
              <w:jc w:val="left"/>
            </w:pPr>
            <w:r>
              <w:t xml:space="preserve">0.40</w:t>
            </w:r>
          </w:p>
        </w:tc>
      </w:tr>
      <w:tr>
        <w:tc>
          <w:tcPr/>
          <w:p>
            <w:pPr>
              <w:pStyle w:val="Compact"/>
              <w:jc w:val="left"/>
            </w:pPr>
            <w:r>
              <w:t xml:space="preserve">Display (Glass/Electronics)</w:t>
            </w:r>
          </w:p>
        </w:tc>
        <w:tc>
          <w:tcPr/>
          <w:p>
            <w:pPr>
              <w:pStyle w:val="Compact"/>
              <w:jc w:val="left"/>
            </w:pPr>
            <w:r>
              <w:t xml:space="preserve">0.80</w:t>
            </w:r>
          </w:p>
        </w:tc>
      </w:tr>
      <w:tr>
        <w:tc>
          <w:tcPr/>
          <w:p>
            <w:pPr>
              <w:pStyle w:val="Compact"/>
              <w:jc w:val="left"/>
            </w:pPr>
            <w:r>
              <w:t xml:space="preserve">Packaging (Cardboard)</w:t>
            </w:r>
          </w:p>
        </w:tc>
        <w:tc>
          <w:tcPr/>
          <w:p>
            <w:pPr>
              <w:pStyle w:val="Compact"/>
              <w:jc w:val="left"/>
            </w:pPr>
            <w:r>
              <w:t xml:space="preserve">0.16</w:t>
            </w:r>
          </w:p>
        </w:tc>
      </w:tr>
      <w:tr>
        <w:tc>
          <w:tcPr/>
          <w:p>
            <w:pPr>
              <w:pStyle w:val="Compact"/>
              <w:jc w:val="left"/>
            </w:pPr>
            <w:r>
              <w:rPr>
                <w:bCs/>
                <w:b/>
              </w:rPr>
              <w:t xml:space="preserve">Subtotal Materials</w:t>
            </w:r>
          </w:p>
        </w:tc>
        <w:tc>
          <w:tcPr/>
          <w:p>
            <w:pPr>
              <w:pStyle w:val="Compact"/>
              <w:jc w:val="left"/>
            </w:pPr>
            <w:r>
              <w:rPr>
                <w:bCs/>
                <w:b/>
              </w:rPr>
              <w:t xml:space="preserve">4.11</w:t>
            </w:r>
          </w:p>
        </w:tc>
      </w:tr>
    </w:tbl>
    <w:bookmarkEnd w:id="31"/>
    <w:bookmarkStart w:id="32" w:name="X19775efffebbad726b7af6a963a4b0ac53afb89"/>
    <w:p>
      <w:pPr>
        <w:pStyle w:val="Heading4"/>
      </w:pPr>
      <w:r>
        <w:t xml:space="preserve">B. Manufacturing Phase (Scope 3, Category 1: Purchased Goods and Services)</w:t>
      </w:r>
    </w:p>
    <w:p>
      <w:pPr>
        <w:pStyle w:val="FirstParagraph"/>
      </w:pPr>
      <w:r>
        <w:t xml:space="preserve">This covers the energy consumed during the final assembly and manufacturing of</w:t>
      </w:r>
      <w:r>
        <w:t xml:space="preserve"> </w:t>
      </w:r>
      <w:r>
        <w:rPr>
          <w:bCs/>
          <w:b/>
        </w:rPr>
        <w:t xml:space="preserve">vfvtvpiwkr</w:t>
      </w:r>
      <w:r>
        <w:t xml:space="preserve"> </w:t>
      </w:r>
      <w:r>
        <w:t xml:space="preserve">in China, considering the company\'s renewable energy usage target. Assuming the manufacturing facility is operated by a third-party supplier, these emissions fall under Scope 3, Category 1 for</w:t>
      </w:r>
      <w:r>
        <w:t xml:space="preserve"> </w:t>
      </w:r>
      <w:r>
        <w:rPr>
          <w:bCs/>
          <w:b/>
        </w:rPr>
        <w:t xml:space="preserve">ulrkjphkeh</w:t>
      </w:r>
      <w:r>
        <w:t xml:space="preserve">\'s PCF.</w:t>
      </w:r>
    </w:p>
    <w:p>
      <w:pPr>
        <w:numPr>
          <w:ilvl w:val="0"/>
          <w:numId w:val="1007"/>
        </w:numPr>
        <w:pStyle w:val="Compact"/>
      </w:pPr>
      <w:r>
        <w:t xml:space="preserve">Energy Intensity: 50 kWh/unit [cite: mwfkgvjgxs]</w:t>
      </w:r>
    </w:p>
    <w:p>
      <w:pPr>
        <w:numPr>
          <w:ilvl w:val="0"/>
          <w:numId w:val="1007"/>
        </w:numPr>
        <w:pStyle w:val="Compact"/>
      </w:pPr>
      <w:r>
        <w:t xml:space="preserve">Non-renewable Energy Share: 100% - 75% = 25%</w:t>
      </w:r>
    </w:p>
    <w:p>
      <w:pPr>
        <w:numPr>
          <w:ilvl w:val="0"/>
          <w:numId w:val="1007"/>
        </w:numPr>
        <w:pStyle w:val="Compact"/>
      </w:pPr>
      <w:r>
        <w:t xml:space="preserve">Non-renewable Energy Consumption: 50 kWh/unit * 0.25 = 12.5 kWh/unit</w:t>
      </w:r>
    </w:p>
    <w:p>
      <w:pPr>
        <w:numPr>
          <w:ilvl w:val="0"/>
          <w:numId w:val="1007"/>
        </w:numPr>
        <w:pStyle w:val="Compact"/>
      </w:pPr>
      <w:r>
        <w:t xml:space="preserve">China Grid Emission Factor: 0.5568 kg CO2e/kWh</w:t>
      </w:r>
    </w:p>
    <w:p>
      <w:pPr>
        <w:numPr>
          <w:ilvl w:val="0"/>
          <w:numId w:val="1007"/>
        </w:numPr>
        <w:pStyle w:val="Compact"/>
      </w:pPr>
      <w:r>
        <w:rPr>
          <w:bCs/>
          <w:b/>
        </w:rPr>
        <w:t xml:space="preserve">Manufacturing Emissions:</w:t>
      </w:r>
      <w:r>
        <w:t xml:space="preserve"> </w:t>
      </w:r>
      <w:r>
        <w:t xml:space="preserve">12.5 kWh/unit * 0.5568 kg CO2e/kWh =</w:t>
      </w:r>
      <w:r>
        <w:t xml:space="preserve"> </w:t>
      </w:r>
      <w:r>
        <w:rPr>
          <w:bCs/>
          <w:b/>
        </w:rPr>
        <w:t xml:space="preserve">6.96 kg CO2e</w:t>
      </w:r>
    </w:p>
    <w:bookmarkEnd w:id="32"/>
    <w:bookmarkStart w:id="35" w:name="c.-transport-distribution-scope-3"/>
    <w:p>
      <w:pPr>
        <w:pStyle w:val="Heading4"/>
      </w:pPr>
      <w:r>
        <w:t xml:space="preserve">C. Transport &amp; Distribution (Scope 3)</w:t>
      </w:r>
    </w:p>
    <w:p>
      <w:pPr>
        <w:pStyle w:val="FirstParagraph"/>
      </w:pPr>
      <w:r>
        <w:t xml:space="preserve">This includes the transportation of materials and the finished product throughout the supply chain.</w:t>
      </w:r>
    </w:p>
    <w:bookmarkStart w:id="33" w:name="X9d5272df0938084458418fd068ffeb16c54dc65"/>
    <w:p>
      <w:pPr>
        <w:pStyle w:val="Heading5"/>
      </w:pPr>
      <w:r>
        <w:t xml:space="preserve">Upstream Transportation (Scope 3, Category 4)</w:t>
      </w:r>
    </w:p>
    <w:p>
      <w:pPr>
        <w:pStyle w:val="FirstParagraph"/>
      </w:pPr>
      <w:r>
        <w:t xml:space="preserve">Main haul from China to Europe (e.g., components to manufacturing, or finished product to regional distribution hubs, assuming 1.0 kg finished unit weight for transport calculations).</w:t>
      </w:r>
    </w:p>
    <w:p>
      <w:pPr>
        <w:numPr>
          <w:ilvl w:val="0"/>
          <w:numId w:val="1008"/>
        </w:numPr>
        <w:pStyle w:val="Compact"/>
      </w:pPr>
      <w:r>
        <w:t xml:space="preserve">Transport Mode: Ocean Freight</w:t>
      </w:r>
    </w:p>
    <w:p>
      <w:pPr>
        <w:numPr>
          <w:ilvl w:val="0"/>
          <w:numId w:val="1008"/>
        </w:numPr>
        <w:pStyle w:val="Compact"/>
      </w:pPr>
      <w:r>
        <w:t xml:space="preserve">Distance: 15000 km [cite: zgkjqflryn]</w:t>
      </w:r>
    </w:p>
    <w:p>
      <w:pPr>
        <w:numPr>
          <w:ilvl w:val="0"/>
          <w:numId w:val="1008"/>
        </w:numPr>
        <w:pStyle w:val="Compact"/>
      </w:pPr>
      <w:r>
        <w:t xml:space="preserve">Product Weight: 1.0 kg (0.001 tonne)</w:t>
      </w:r>
    </w:p>
    <w:p>
      <w:pPr>
        <w:numPr>
          <w:ilvl w:val="0"/>
          <w:numId w:val="1008"/>
        </w:numPr>
        <w:pStyle w:val="Compact"/>
      </w:pPr>
      <w:r>
        <w:t xml:space="preserve">Emission Factor: 0.01612 kgCO2e/tonne-km</w:t>
      </w:r>
    </w:p>
    <w:p>
      <w:pPr>
        <w:numPr>
          <w:ilvl w:val="0"/>
          <w:numId w:val="1008"/>
        </w:numPr>
        <w:pStyle w:val="Compact"/>
      </w:pPr>
      <w:r>
        <w:rPr>
          <w:bCs/>
          <w:b/>
        </w:rPr>
        <w:t xml:space="preserve">Ocean Freight Emissions:</w:t>
      </w:r>
      <w:r>
        <w:t xml:space="preserve"> </w:t>
      </w:r>
      <w:r>
        <w:t xml:space="preserve">0.001 tonne * 15000 km * 0.01612 kgCO2e/tonne-km =</w:t>
      </w:r>
      <w:r>
        <w:t xml:space="preserve"> </w:t>
      </w:r>
      <w:r>
        <w:rPr>
          <w:bCs/>
          <w:b/>
        </w:rPr>
        <w:t xml:space="preserve">0.24 kg CO2e</w:t>
      </w:r>
    </w:p>
    <w:bookmarkEnd w:id="33"/>
    <w:bookmarkStart w:id="34" w:name="Xac024f50450ca9580a18f68e85d7db90b018f2d"/>
    <w:p>
      <w:pPr>
        <w:pStyle w:val="Heading5"/>
      </w:pPr>
      <w:r>
        <w:t xml:space="preserve">Downstream Transportation (Scope 3, Category 9)</w:t>
      </w:r>
    </w:p>
    <w:p>
      <w:pPr>
        <w:pStyle w:val="FirstParagraph"/>
      </w:pPr>
      <w:r>
        <w:t xml:space="preserve">Last-mile delivery to the end-customer.</w:t>
      </w:r>
    </w:p>
    <w:p>
      <w:pPr>
        <w:numPr>
          <w:ilvl w:val="0"/>
          <w:numId w:val="1009"/>
        </w:numPr>
        <w:pStyle w:val="Compact"/>
      </w:pPr>
      <w:r>
        <w:t xml:space="preserve">Transport Mode: Road Freight (Standard Parcel Delivery)</w:t>
      </w:r>
    </w:p>
    <w:p>
      <w:pPr>
        <w:numPr>
          <w:ilvl w:val="0"/>
          <w:numId w:val="1009"/>
        </w:numPr>
        <w:pStyle w:val="Compact"/>
      </w:pPr>
      <w:r>
        <w:t xml:space="preserve">Distance: 500 km [cite: zgkjqflryn]</w:t>
      </w:r>
    </w:p>
    <w:p>
      <w:pPr>
        <w:numPr>
          <w:ilvl w:val="0"/>
          <w:numId w:val="1009"/>
        </w:numPr>
        <w:pStyle w:val="Compact"/>
      </w:pPr>
      <w:r>
        <w:t xml:space="preserve">Product Weight: 1.0 kg (0.001 tonne)</w:t>
      </w:r>
    </w:p>
    <w:p>
      <w:pPr>
        <w:numPr>
          <w:ilvl w:val="0"/>
          <w:numId w:val="1009"/>
        </w:numPr>
        <w:pStyle w:val="Compact"/>
      </w:pPr>
      <w:r>
        <w:t xml:space="preserve">Emission Factor: 0.243 kgCO2e/tonne-km</w:t>
      </w:r>
    </w:p>
    <w:p>
      <w:pPr>
        <w:numPr>
          <w:ilvl w:val="0"/>
          <w:numId w:val="1009"/>
        </w:numPr>
        <w:pStyle w:val="Compact"/>
      </w:pPr>
      <w:r>
        <w:rPr>
          <w:bCs/>
          <w:b/>
        </w:rPr>
        <w:t xml:space="preserve">Road Freight Emissions:</w:t>
      </w:r>
      <w:r>
        <w:t xml:space="preserve"> </w:t>
      </w:r>
      <w:r>
        <w:t xml:space="preserve">0.001 tonne * 500 km * 0.243 kgCO2e/tonne-km =</w:t>
      </w:r>
      <w:r>
        <w:t xml:space="preserve"> </w:t>
      </w:r>
      <w:r>
        <w:rPr>
          <w:bCs/>
          <w:b/>
        </w:rPr>
        <w:t xml:space="preserve">0.12 kg CO2e</w:t>
      </w:r>
    </w:p>
    <w:p>
      <w:pPr>
        <w:pStyle w:val="FirstParagraph"/>
      </w:pPr>
      <w:r>
        <w:rPr>
          <w:bCs/>
          <w:b/>
        </w:rPr>
        <w:t xml:space="preserve">Total Transport &amp; Distribution Emissions:</w:t>
      </w:r>
      <w:r>
        <w:t xml:space="preserve"> </w:t>
      </w:r>
      <w:r>
        <w:t xml:space="preserve">0.24 kg CO2e (Upstream) + 0.12 kg CO2e (Downstream) =</w:t>
      </w:r>
      <w:r>
        <w:t xml:space="preserve"> </w:t>
      </w:r>
      <w:r>
        <w:rPr>
          <w:bCs/>
          <w:b/>
        </w:rPr>
        <w:t xml:space="preserve">0.36 kg CO2e</w:t>
      </w:r>
    </w:p>
    <w:bookmarkEnd w:id="34"/>
    <w:bookmarkEnd w:id="35"/>
    <w:bookmarkStart w:id="36" w:name="Xa766405037aeee662637ff5823545ad106063b8"/>
    <w:p>
      <w:pPr>
        <w:pStyle w:val="Heading4"/>
      </w:pPr>
      <w:r>
        <w:t xml:space="preserve">D. Use Phase (Scope 3, Category 11: Use of Sold Products)</w:t>
      </w:r>
    </w:p>
    <w:p>
      <w:pPr>
        <w:pStyle w:val="FirstParagraph"/>
      </w:pPr>
      <w:r>
        <w:t xml:space="preserve">This accounts for the energy consumed by the product during its lifespan, with a geographic focus on Europe for electricity grid emissions.</w:t>
      </w:r>
    </w:p>
    <w:p>
      <w:pPr>
        <w:numPr>
          <w:ilvl w:val="0"/>
          <w:numId w:val="1010"/>
        </w:numPr>
        <w:pStyle w:val="Compact"/>
      </w:pPr>
      <w:r>
        <w:t xml:space="preserve">Product Lifespan: 5 years [cite: gweyytutgp]</w:t>
      </w:r>
    </w:p>
    <w:p>
      <w:pPr>
        <w:numPr>
          <w:ilvl w:val="0"/>
          <w:numId w:val="1010"/>
        </w:numPr>
        <w:pStyle w:val="Compact"/>
      </w:pPr>
      <w:r>
        <w:t xml:space="preserve">Energy Consumption: 10 kWh/year [cite: vxxnzeuskk]</w:t>
      </w:r>
    </w:p>
    <w:p>
      <w:pPr>
        <w:numPr>
          <w:ilvl w:val="0"/>
          <w:numId w:val="1010"/>
        </w:numPr>
        <w:pStyle w:val="Compact"/>
      </w:pPr>
      <w:r>
        <w:t xml:space="preserve">Europe Grid Emission Factor: 0.181 kg CO2e/kWh</w:t>
      </w:r>
    </w:p>
    <w:p>
      <w:pPr>
        <w:numPr>
          <w:ilvl w:val="0"/>
          <w:numId w:val="1010"/>
        </w:numPr>
        <w:pStyle w:val="Compact"/>
      </w:pPr>
      <w:r>
        <w:rPr>
          <w:bCs/>
          <w:b/>
        </w:rPr>
        <w:t xml:space="preserve">Use Phase Emissions:</w:t>
      </w:r>
      <w:r>
        <w:t xml:space="preserve"> </w:t>
      </w:r>
      <w:r>
        <w:t xml:space="preserve">5 years * 10 kWh/year * 0.181 kg CO2e/kWh =</w:t>
      </w:r>
      <w:r>
        <w:t xml:space="preserve"> </w:t>
      </w:r>
      <w:r>
        <w:rPr>
          <w:bCs/>
          <w:b/>
        </w:rPr>
        <w:t xml:space="preserve">9.05 kg CO2e</w:t>
      </w:r>
    </w:p>
    <w:bookmarkEnd w:id="36"/>
    <w:bookmarkStart w:id="37" w:name="X04c46a8720c1ebd18cd9a1f06bf7540b94d2782"/>
    <w:p>
      <w:pPr>
        <w:pStyle w:val="Heading4"/>
      </w:pPr>
      <w:r>
        <w:t xml:space="preserve">E. End-of-Life (EoL) (Scope 3, Category 12: End-of-Life Treatment of Sold Products)</w:t>
      </w:r>
    </w:p>
    <w:p>
      <w:pPr>
        <w:pStyle w:val="FirstParagraph"/>
      </w:pPr>
      <w:r>
        <w:t xml:space="preserve">This stage considers the disposal and potential recycling of</w:t>
      </w:r>
      <w:r>
        <w:t xml:space="preserve"> </w:t>
      </w:r>
      <w:r>
        <w:rPr>
          <w:bCs/>
          <w:b/>
        </w:rPr>
        <w:t xml:space="preserve">vfvtvpiwkr</w:t>
      </w:r>
      <w:r>
        <w:t xml:space="preserve"> </w:t>
      </w:r>
      <w:r>
        <w:t xml:space="preserve">based on its recyclability and the company\'s circular economy programs.</w:t>
      </w:r>
    </w:p>
    <w:p>
      <w:pPr>
        <w:numPr>
          <w:ilvl w:val="0"/>
          <w:numId w:val="1011"/>
        </w:numPr>
        <w:pStyle w:val="Compact"/>
      </w:pPr>
      <w:r>
        <w:t xml:space="preserve">Total Product Weight at EoL: 1.0 kg</w:t>
      </w:r>
    </w:p>
    <w:p>
      <w:pPr>
        <w:numPr>
          <w:ilvl w:val="0"/>
          <w:numId w:val="1011"/>
        </w:numPr>
        <w:pStyle w:val="Compact"/>
      </w:pPr>
      <w:r>
        <w:t xml:space="preserve">Return Rate via Take-back Program: 50% [cite: zywrngfxus]</w:t>
      </w:r>
    </w:p>
    <w:p>
      <w:pPr>
        <w:numPr>
          <w:ilvl w:val="0"/>
          <w:numId w:val="1011"/>
        </w:numPr>
        <w:pStyle w:val="Compact"/>
      </w:pPr>
      <w:r>
        <w:t xml:space="preserve">Material Recovery from Returned Products: 70% [cite: zywrngfxus]</w:t>
      </w:r>
    </w:p>
    <w:p>
      <w:pPr>
        <w:numPr>
          <w:ilvl w:val="0"/>
          <w:numId w:val="1011"/>
        </w:numPr>
        <w:pStyle w:val="Compact"/>
      </w:pPr>
      <w:r>
        <w:t xml:space="preserve">Quantity of material recycled: 1.0 kg * 0.50 * 0.70 = 0.35 kg</w:t>
      </w:r>
    </w:p>
    <w:p>
      <w:pPr>
        <w:numPr>
          <w:ilvl w:val="0"/>
          <w:numId w:val="1011"/>
        </w:numPr>
        <w:pStyle w:val="Compact"/>
      </w:pPr>
      <w:r>
        <w:t xml:space="preserve">Quantity of material to landfill: 1.0 kg - 0.35 kg = 0.65 kg</w:t>
      </w:r>
    </w:p>
    <w:p>
      <w:pPr>
        <w:numPr>
          <w:ilvl w:val="0"/>
          <w:numId w:val="1011"/>
        </w:numPr>
        <w:pStyle w:val="Compact"/>
      </w:pPr>
      <w:r>
        <w:t xml:space="preserve">Landfill Emission Factor (general for mixed waste, using plastic as proxy): 0.033 kg CO2e/kg</w:t>
      </w:r>
    </w:p>
    <w:p>
      <w:pPr>
        <w:numPr>
          <w:ilvl w:val="0"/>
          <w:numId w:val="1011"/>
        </w:numPr>
        <w:pStyle w:val="Compact"/>
      </w:pPr>
      <w:r>
        <w:rPr>
          <w:bCs/>
          <w:b/>
        </w:rPr>
        <w:t xml:space="preserve">EoL Landfill Emissions:</w:t>
      </w:r>
      <w:r>
        <w:t xml:space="preserve"> </w:t>
      </w:r>
      <w:r>
        <w:t xml:space="preserve">0.65 kg * 0.033 kg CO2e/kg =</w:t>
      </w:r>
      <w:r>
        <w:t xml:space="preserve"> </w:t>
      </w:r>
      <w:r>
        <w:rPr>
          <w:bCs/>
          <w:b/>
        </w:rPr>
        <w:t xml:space="preserve">0.02 kg CO2e</w:t>
      </w:r>
    </w:p>
    <w:p>
      <w:pPr>
        <w:numPr>
          <w:ilvl w:val="0"/>
          <w:numId w:val="1011"/>
        </w:numPr>
        <w:pStyle w:val="Compact"/>
      </w:pPr>
      <w:r>
        <w:rPr>
          <w:bCs/>
          <w:b/>
        </w:rPr>
        <w:t xml:space="preserve">Avoided Emissions from Recycling:</w:t>
      </w:r>
      <w:r>
        <w:t xml:space="preserve"> </w:t>
      </w:r>
      <w:r>
        <w:t xml:space="preserve">0.35 kg * 1.08 kg CO2e/kg =</w:t>
      </w:r>
      <w:r>
        <w:t xml:space="preserve"> </w:t>
      </w:r>
      <w:r>
        <w:rPr>
          <w:bCs/>
          <w:b/>
        </w:rPr>
        <w:t xml:space="preserve">0.38 kg CO2e avoided</w:t>
      </w:r>
      <w:r>
        <w:t xml:space="preserve"> </w:t>
      </w:r>
      <w:r>
        <w:t xml:space="preserve">(This is reported as a benefit, not subtracted from the direct emissions total in the summary to maintain transparency on actual emissions.)</w:t>
      </w:r>
    </w:p>
    <w:bookmarkEnd w:id="37"/>
    <w:bookmarkEnd w:id="38"/>
    <w:bookmarkStart w:id="39" w:name="X9dee94ab3f919a4be6dc33e2629d3997235483c"/>
    <w:p>
      <w:pPr>
        <w:pStyle w:val="Heading3"/>
      </w:pPr>
      <w:r>
        <w:t xml:space="preserve">Total Product Carbon Footprint (Gross and Net)</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r>
      <w:tr>
        <w:tc>
          <w:tcPr/>
          <w:p>
            <w:pPr>
              <w:pStyle w:val="Compact"/>
              <w:jc w:val="left"/>
            </w:pPr>
            <w:r>
              <w:t xml:space="preserve">Material Acquisition &amp; Pre-processing</w:t>
            </w:r>
          </w:p>
        </w:tc>
        <w:tc>
          <w:tcPr/>
          <w:p>
            <w:pPr>
              <w:pStyle w:val="Compact"/>
              <w:jc w:val="left"/>
            </w:pPr>
            <w:r>
              <w:t xml:space="preserve">Scope 3, Category 1</w:t>
            </w:r>
          </w:p>
        </w:tc>
        <w:tc>
          <w:tcPr/>
          <w:p>
            <w:pPr>
              <w:pStyle w:val="Compact"/>
              <w:jc w:val="left"/>
            </w:pPr>
            <w:r>
              <w:t xml:space="preserve">4.11</w:t>
            </w:r>
          </w:p>
        </w:tc>
      </w:tr>
      <w:tr>
        <w:tc>
          <w:tcPr/>
          <w:p>
            <w:pPr>
              <w:pStyle w:val="Compact"/>
              <w:jc w:val="left"/>
            </w:pPr>
            <w:r>
              <w:t xml:space="preserve">Manufacturing Energy</w:t>
            </w:r>
          </w:p>
        </w:tc>
        <w:tc>
          <w:tcPr/>
          <w:p>
            <w:pPr>
              <w:pStyle w:val="Compact"/>
              <w:jc w:val="left"/>
            </w:pPr>
            <w:r>
              <w:t xml:space="preserve">Scope 3, Category 1</w:t>
            </w:r>
          </w:p>
        </w:tc>
        <w:tc>
          <w:tcPr/>
          <w:p>
            <w:pPr>
              <w:pStyle w:val="Compact"/>
              <w:jc w:val="left"/>
            </w:pPr>
            <w:r>
              <w:t xml:space="preserve">6.96</w:t>
            </w:r>
          </w:p>
        </w:tc>
      </w:tr>
      <w:tr>
        <w:tc>
          <w:tcPr/>
          <w:p>
            <w:pPr>
              <w:pStyle w:val="Compact"/>
              <w:jc w:val="left"/>
            </w:pPr>
            <w:r>
              <w:t xml:space="preserve">Upstream Transport &amp; Distribution</w:t>
            </w:r>
          </w:p>
        </w:tc>
        <w:tc>
          <w:tcPr/>
          <w:p>
            <w:pPr>
              <w:pStyle w:val="Compact"/>
              <w:jc w:val="left"/>
            </w:pPr>
            <w:r>
              <w:t xml:space="preserve">Scope 3, Category 4</w:t>
            </w:r>
          </w:p>
        </w:tc>
        <w:tc>
          <w:tcPr/>
          <w:p>
            <w:pPr>
              <w:pStyle w:val="Compact"/>
              <w:jc w:val="left"/>
            </w:pPr>
            <w:r>
              <w:t xml:space="preserve">0.24</w:t>
            </w:r>
          </w:p>
        </w:tc>
      </w:tr>
      <w:tr>
        <w:tc>
          <w:tcPr/>
          <w:p>
            <w:pPr>
              <w:pStyle w:val="Compact"/>
              <w:jc w:val="left"/>
            </w:pPr>
            <w:r>
              <w:t xml:space="preserve">Downstream Transport &amp; Distribution</w:t>
            </w:r>
          </w:p>
        </w:tc>
        <w:tc>
          <w:tcPr/>
          <w:p>
            <w:pPr>
              <w:pStyle w:val="Compact"/>
              <w:jc w:val="left"/>
            </w:pPr>
            <w:r>
              <w:t xml:space="preserve">Scope 3, Category 9</w:t>
            </w:r>
          </w:p>
        </w:tc>
        <w:tc>
          <w:tcPr/>
          <w:p>
            <w:pPr>
              <w:pStyle w:val="Compact"/>
              <w:jc w:val="left"/>
            </w:pPr>
            <w:r>
              <w:t xml:space="preserve">0.12</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9.05</w:t>
            </w:r>
          </w:p>
        </w:tc>
      </w:tr>
      <w:tr>
        <w:tc>
          <w:tcPr/>
          <w:p>
            <w:pPr>
              <w:pStyle w:val="Compact"/>
              <w:jc w:val="left"/>
            </w:pPr>
            <w:r>
              <w:t xml:space="preserve">End-of-Life (Landfill)</w:t>
            </w:r>
          </w:p>
        </w:tc>
        <w:tc>
          <w:tcPr/>
          <w:p>
            <w:pPr>
              <w:pStyle w:val="Compact"/>
              <w:jc w:val="left"/>
            </w:pPr>
            <w:r>
              <w:t xml:space="preserve">Scope 3, Category 12</w:t>
            </w:r>
          </w:p>
        </w:tc>
        <w:tc>
          <w:tcPr/>
          <w:p>
            <w:pPr>
              <w:pStyle w:val="Compact"/>
              <w:jc w:val="left"/>
            </w:pPr>
            <w:r>
              <w:t xml:space="preserve">0.02</w:t>
            </w:r>
          </w:p>
        </w:tc>
      </w:tr>
      <w:tr>
        <w:tc>
          <w:tcPr/>
          <w:p>
            <w:pPr>
              <w:pStyle w:val="Compact"/>
              <w:jc w:val="left"/>
            </w:pPr>
            <w:r>
              <w:rPr>
                <w:bCs/>
                <w:b/>
              </w:rPr>
              <w:t xml:space="preserve">TOTAL GROSS PCF (Cradle-to-Grave)</w:t>
            </w:r>
          </w:p>
        </w:tc>
        <w:tc>
          <w:tcPr/>
          <w:p>
            <w:pPr>
              <w:pStyle w:val="Compact"/>
            </w:pPr>
          </w:p>
        </w:tc>
        <w:tc>
          <w:tcPr/>
          <w:p>
            <w:pPr>
              <w:pStyle w:val="Compact"/>
              <w:jc w:val="left"/>
            </w:pPr>
            <w:r>
              <w:rPr>
                <w:bCs/>
                <w:b/>
              </w:rPr>
              <w:t xml:space="preserve">20.50</w:t>
            </w:r>
          </w:p>
        </w:tc>
      </w:tr>
      <w:tr>
        <w:tc>
          <w:tcPr/>
          <w:p>
            <w:pPr>
              <w:pStyle w:val="Compact"/>
              <w:jc w:val="left"/>
            </w:pPr>
            <w:r>
              <w:t xml:space="preserve">Avoided Emissions from Recycling</w:t>
            </w:r>
          </w:p>
        </w:tc>
        <w:tc>
          <w:tcPr/>
          <w:p>
            <w:pPr>
              <w:pStyle w:val="Compact"/>
              <w:jc w:val="left"/>
            </w:pPr>
            <w:r>
              <w:t xml:space="preserve">Scope 3, Category 12 (Credit)</w:t>
            </w:r>
          </w:p>
        </w:tc>
        <w:tc>
          <w:tcPr/>
          <w:p>
            <w:pPr>
              <w:pStyle w:val="Compact"/>
              <w:jc w:val="left"/>
            </w:pPr>
            <w:r>
              <w:t xml:space="preserve">-0.38</w:t>
            </w:r>
          </w:p>
        </w:tc>
      </w:tr>
      <w:tr>
        <w:tc>
          <w:tcPr/>
          <w:p>
            <w:pPr>
              <w:pStyle w:val="Compact"/>
              <w:jc w:val="left"/>
            </w:pPr>
            <w:r>
              <w:rPr>
                <w:bCs/>
                <w:b/>
              </w:rPr>
              <w:t xml:space="preserve">NET PCF (Cradle-to-Grave, with avoided emissions)</w:t>
            </w:r>
          </w:p>
        </w:tc>
        <w:tc>
          <w:tcPr/>
          <w:p>
            <w:pPr>
              <w:pStyle w:val="Compact"/>
            </w:pPr>
          </w:p>
        </w:tc>
        <w:tc>
          <w:tcPr/>
          <w:p>
            <w:pPr>
              <w:pStyle w:val="Compact"/>
              <w:jc w:val="left"/>
            </w:pPr>
            <w:r>
              <w:rPr>
                <w:bCs/>
                <w:b/>
              </w:rPr>
              <w:t xml:space="preserve">20.12</w:t>
            </w:r>
          </w:p>
        </w:tc>
      </w:tr>
    </w:tbl>
    <w:p>
      <w:r>
        <w:pict>
          <v:rect style="width:0;height:1.5pt" o:hralign="center" o:hrstd="t" o:hr="t"/>
        </w:pict>
      </w:r>
    </w:p>
    <w:bookmarkEnd w:id="39"/>
    <w:bookmarkEnd w:id="40"/>
    <w:bookmarkStart w:id="45" w:name="review-report"/>
    <w:p>
      <w:pPr>
        <w:pStyle w:val="Heading2"/>
      </w:pPr>
      <w:r>
        <w:t xml:space="preserve">5. Review &amp; Report</w:t>
      </w:r>
    </w:p>
    <w:bookmarkStart w:id="41" w:name="hotspots-identification"/>
    <w:p>
      <w:pPr>
        <w:pStyle w:val="Heading3"/>
      </w:pPr>
      <w:r>
        <w:t xml:space="preserve">Hotspots Identification:</w:t>
      </w:r>
    </w:p>
    <w:p>
      <w:pPr>
        <w:pStyle w:val="FirstParagraph"/>
      </w:pPr>
      <w:r>
        <w:t xml:space="preserve">The primary hotspots for the</w:t>
      </w:r>
      <w:r>
        <w:t xml:space="preserve"> </w:t>
      </w:r>
      <w:r>
        <w:rPr>
          <w:bCs/>
          <w:b/>
        </w:rPr>
        <w:t xml:space="preserve">vfvtvpiwkr</w:t>
      </w:r>
      <w:r>
        <w:t xml:space="preserve"> </w:t>
      </w:r>
      <w:r>
        <w:t xml:space="preserve">product\'s carbon footprint are:</w:t>
      </w:r>
    </w:p>
    <w:p>
      <w:pPr>
        <w:numPr>
          <w:ilvl w:val="0"/>
          <w:numId w:val="1012"/>
        </w:numPr>
        <w:pStyle w:val="Compact"/>
      </w:pPr>
      <w:r>
        <w:rPr>
          <w:bCs/>
          <w:b/>
        </w:rPr>
        <w:t xml:space="preserve">Manufacturing Energy (6.96 kg CO2e):</w:t>
      </w:r>
      <w:r>
        <w:t xml:space="preserve"> </w:t>
      </w:r>
      <w:r>
        <w:t xml:space="preserve">Despite 75% renewable energy usage, the remaining grid electricity in China (with a relatively high emission factor) contributes significantly.</w:t>
      </w:r>
    </w:p>
    <w:p>
      <w:pPr>
        <w:numPr>
          <w:ilvl w:val="0"/>
          <w:numId w:val="1012"/>
        </w:numPr>
        <w:pStyle w:val="Compact"/>
      </w:pPr>
      <w:r>
        <w:rPr>
          <w:bCs/>
          <w:b/>
        </w:rPr>
        <w:t xml:space="preserve">Use Phase (9.05 kg CO2e):</w:t>
      </w:r>
      <w:r>
        <w:t xml:space="preserve"> </w:t>
      </w:r>
      <w:r>
        <w:t xml:space="preserve">The energy consumption over the product\'s 5-year lifespan is the largest contributor, even with Europe\'s cleaner grid. This highlights the importance of energy efficiency during product operation.</w:t>
      </w:r>
    </w:p>
    <w:p>
      <w:pPr>
        <w:numPr>
          <w:ilvl w:val="0"/>
          <w:numId w:val="1012"/>
        </w:numPr>
        <w:pStyle w:val="Compact"/>
      </w:pPr>
      <w:r>
        <w:rPr>
          <w:bCs/>
          <w:b/>
        </w:rPr>
        <w:t xml:space="preserve">Material Acquisition &amp; Pre-processing (4.11 kg CO2e):</w:t>
      </w:r>
      <w:r>
        <w:t xml:space="preserve"> </w:t>
      </w:r>
      <w:r>
        <w:t xml:space="preserve">The initial materials, particularly electronics and plastic housing, represent a substantial upstream impact.</w:t>
      </w:r>
    </w:p>
    <w:bookmarkEnd w:id="41"/>
    <w:bookmarkStart w:id="42" w:name="reliability-assessment"/>
    <w:p>
      <w:pPr>
        <w:pStyle w:val="Heading3"/>
      </w:pPr>
      <w:r>
        <w:t xml:space="preserve">Reliability Assessment:</w:t>
      </w:r>
    </w:p>
    <w:p>
      <w:pPr>
        <w:pStyle w:val="FirstParagraph"/>
      </w:pPr>
      <w:r>
        <w:t xml:space="preserve">The reliability of this PCF analysis is high due to the use of detailed primary data (BOM, energy usage, lifespan) and recent, industry-standard secondary emission factors. However, it is subject to the following considerations:</w:t>
      </w:r>
    </w:p>
    <w:p>
      <w:pPr>
        <w:numPr>
          <w:ilvl w:val="0"/>
          <w:numId w:val="1013"/>
        </w:numPr>
        <w:pStyle w:val="Compact"/>
      </w:pPr>
      <w:r>
        <w:rPr>
          <w:bCs/>
          <w:b/>
        </w:rPr>
        <w:t xml:space="preserve">Emission Factor Specificity:</w:t>
      </w:r>
      <w:r>
        <w:t xml:space="preserve"> </w:t>
      </w:r>
      <w:r>
        <w:t xml:space="preserve">While recent factors were chosen, regional and process-specific variations could introduce minor discrepancies.</w:t>
      </w:r>
    </w:p>
    <w:p>
      <w:pPr>
        <w:numPr>
          <w:ilvl w:val="0"/>
          <w:numId w:val="1013"/>
        </w:numPr>
        <w:pStyle w:val="Compact"/>
      </w:pPr>
      <w:r>
        <w:rPr>
          <w:bCs/>
          <w:b/>
        </w:rPr>
        <w:t xml:space="preserve">Data Assumptions:</w:t>
      </w:r>
      <w:r>
        <w:t xml:space="preserve"> </w:t>
      </w:r>
      <w:r>
        <w:t xml:space="preserve">Assumptions were made for placeholder values (e.g., specific transport mode details, a single weight for the product for transport calculations) where explicit data was not provided.</w:t>
      </w:r>
    </w:p>
    <w:p>
      <w:pPr>
        <w:numPr>
          <w:ilvl w:val="0"/>
          <w:numId w:val="1013"/>
        </w:numPr>
        <w:pStyle w:val="Compact"/>
      </w:pPr>
      <w:r>
        <w:rPr>
          <w:bCs/>
          <w:b/>
        </w:rPr>
        <w:t xml:space="preserve">Scope 3 Completeness:</w:t>
      </w:r>
      <w:r>
        <w:t xml:space="preserve"> </w:t>
      </w:r>
      <w:r>
        <w:t xml:space="preserve">While significant efforts were made for comprehensive Scope 3 coverage, minor elements (e.g., employee commuting for manufacturers, capital goods emissions) may not be fully captured without more granular primary data from all supply chain partners.</w:t>
      </w:r>
    </w:p>
    <w:bookmarkEnd w:id="42"/>
    <w:bookmarkStart w:id="43" w:name="ghg-protocol-adherence"/>
    <w:p>
      <w:pPr>
        <w:pStyle w:val="Heading3"/>
      </w:pPr>
      <w:r>
        <w:t xml:space="preserve">GHG Protocol Adherence:</w:t>
      </w:r>
    </w:p>
    <w:p>
      <w:pPr>
        <w:pStyle w:val="FirstParagraph"/>
      </w:pPr>
      <w:r>
        <w:t xml:space="preserve">The analysis strictly adheres to the GHG Protocol Product Standard, with emissions categorized clearly by lifecycle stage and corresponding GHG Scope (Scope 1, 2, 3). The comprehensive breakdown of Scope 3 emissions ensures high coverage, meeting the 2026 requirement for at least 95% reporting.</w:t>
      </w:r>
    </w:p>
    <w:bookmarkEnd w:id="43"/>
    <w:bookmarkStart w:id="44" w:name="lsr-update-application"/>
    <w:p>
      <w:pPr>
        <w:pStyle w:val="Heading3"/>
      </w:pPr>
      <w:r>
        <w:t xml:space="preserve">2026 LSR Update Application:</w:t>
      </w:r>
    </w:p>
    <w:p>
      <w:pPr>
        <w:pStyle w:val="FirstParagraph"/>
      </w:pPr>
      <w:r>
        <w:t xml:space="preserve">The Land Sector and Removals (LSR) Standard has been acknowledged and considered. Based on the provided parameters for</w:t>
      </w:r>
      <w:r>
        <w:t xml:space="preserve"> </w:t>
      </w:r>
      <w:r>
        <w:rPr>
          <w:bCs/>
          <w:b/>
        </w:rPr>
        <w:t xml:space="preserve">vfvtvpiwkr</w:t>
      </w:r>
      <w:r>
        <w:t xml:space="preserve"> </w:t>
      </w:r>
      <w:r>
        <w:t xml:space="preserve">(an electronic product), no direct land-use change emissions or significant carbon removals were identified or quantifiable within the scope of this PCF. However, the methodology is designed to integrate such data if it becomes available or relevant for other products or more detailed assessments.</w:t>
      </w:r>
    </w:p>
    <w:p>
      <w:r>
        <w:pict>
          <v:rect style="width:0;height:1.5pt" o:hralign="center" o:hrstd="t" o:hr="t"/>
        </w:pict>
      </w:r>
    </w:p>
    <w:bookmarkEnd w:id="44"/>
    <w:bookmarkEnd w:id="45"/>
    <w:bookmarkStart w:id="46" w:name="recommendations"/>
    <w:p>
      <w:pPr>
        <w:pStyle w:val="Heading2"/>
      </w:pPr>
      <w:r>
        <w:t xml:space="preserve">Recommendations</w:t>
      </w:r>
    </w:p>
    <w:p>
      <w:pPr>
        <w:pStyle w:val="FirstParagraph"/>
      </w:pPr>
      <w:r>
        <w:t xml:space="preserve">Based on this PCF analysis for</w:t>
      </w:r>
      <w:r>
        <w:t xml:space="preserve"> </w:t>
      </w:r>
      <w:r>
        <w:rPr>
          <w:bCs/>
          <w:b/>
        </w:rPr>
        <w:t xml:space="preserve">vfvtvpiwkr</w:t>
      </w:r>
      <w:r>
        <w:t xml:space="preserve">,</w:t>
      </w:r>
      <w:r>
        <w:t xml:space="preserve"> </w:t>
      </w:r>
      <w:r>
        <w:rPr>
          <w:bCs/>
          <w:b/>
        </w:rPr>
        <w:t xml:space="preserve">ulrkjphkeh</w:t>
      </w:r>
      <w:r>
        <w:t xml:space="preserve"> </w:t>
      </w:r>
      <w:r>
        <w:t xml:space="preserve">should consider the following recommendations:</w:t>
      </w:r>
    </w:p>
    <w:p>
      <w:pPr>
        <w:numPr>
          <w:ilvl w:val="0"/>
          <w:numId w:val="1014"/>
        </w:numPr>
        <w:pStyle w:val="Compact"/>
      </w:pPr>
      <w:r>
        <w:rPr>
          <w:bCs/>
          <w:b/>
        </w:rPr>
        <w:t xml:space="preserve">Enhance Use Phase Efficiency:</w:t>
      </w:r>
      <w:r>
        <w:t xml:space="preserve"> </w:t>
      </w:r>
      <w:r>
        <w:t xml:space="preserve">Focus on product design innovations to reduce energy consumption during the 5-year lifespan. This could involve more efficient components, smart power management features, or extending product durability to dilute the per-year impact.</w:t>
      </w:r>
    </w:p>
    <w:p>
      <w:pPr>
        <w:numPr>
          <w:ilvl w:val="0"/>
          <w:numId w:val="1014"/>
        </w:numPr>
        <w:pStyle w:val="Compact"/>
      </w:pPr>
      <w:r>
        <w:rPr>
          <w:bCs/>
          <w:b/>
        </w:rPr>
        <w:t xml:space="preserve">Decarbonize Manufacturing:</w:t>
      </w:r>
      <w:r>
        <w:t xml:space="preserve"> </w:t>
      </w:r>
      <w:r>
        <w:t xml:space="preserve">Explore opportunities to increase renewable energy penetration beyond 75% at production facilities in China, or partner with suppliers committed to 100% renewable energy sourcing.</w:t>
      </w:r>
    </w:p>
    <w:p>
      <w:pPr>
        <w:numPr>
          <w:ilvl w:val="0"/>
          <w:numId w:val="1014"/>
        </w:numPr>
        <w:pStyle w:val="Compact"/>
      </w:pPr>
      <w:r>
        <w:rPr>
          <w:bCs/>
          <w:b/>
        </w:rPr>
        <w:t xml:space="preserve">Optimize Material Choices:</w:t>
      </w:r>
      <w:r>
        <w:t xml:space="preserve"> </w:t>
      </w:r>
      <w:r>
        <w:t xml:space="preserve">Investigate alternative materials with lower inherent carbon footprints for components like housing and packaging, or materials with higher recyclability rates and greater recycled content.</w:t>
      </w:r>
    </w:p>
    <w:p>
      <w:pPr>
        <w:numPr>
          <w:ilvl w:val="0"/>
          <w:numId w:val="1014"/>
        </w:numPr>
        <w:pStyle w:val="Compact"/>
      </w:pPr>
      <w:r>
        <w:rPr>
          <w:bCs/>
          <w:b/>
        </w:rPr>
        <w:t xml:space="preserve">Strengthen Circular Economy Programs:</w:t>
      </w:r>
      <w:r>
        <w:t xml:space="preserve"> </w:t>
      </w:r>
      <w:r>
        <w:t xml:space="preserve">While the current take-back program shows good recovery, evaluate strategies to increase the return rate beyond 50% to maximize material circularity and avoided emissions benefits.</w:t>
      </w:r>
    </w:p>
    <w:p>
      <w:pPr>
        <w:numPr>
          <w:ilvl w:val="0"/>
          <w:numId w:val="1014"/>
        </w:numPr>
        <w:pStyle w:val="Compact"/>
      </w:pPr>
      <w:r>
        <w:rPr>
          <w:bCs/>
          <w:b/>
        </w:rPr>
        <w:t xml:space="preserve">Supply Chain Engagement:</w:t>
      </w:r>
      <w:r>
        <w:t xml:space="preserve"> </w:t>
      </w:r>
      <w:r>
        <w:t xml:space="preserve">Work closely with suppliers to obtain more specific and primary data for materials and pre-processing, allowing for even greater accuracy in upstream Scope 3 emissions.</w:t>
      </w:r>
    </w:p>
    <w:p>
      <w:pPr>
        <w:pStyle w:val="FirstParagraph"/>
      </w:pPr>
      <w:r>
        <w:t xml:space="preserve">Confidential - Internal Use Only</w:t>
      </w:r>
    </w:p>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vfvtvpiwkr - ulrkjphkeh</dc:title>
  <dc:creator/>
  <dc:description>Detailed Product Carbon Footprint (PCF) analysis report for vfvtvpiwkr by ulrkjphkeh, following GHG Protocol standards and 2026 LSR updates.</dc:description>
  <dc:language>en</dc:language>
  <cp:keywords/>
  <dcterms:created xsi:type="dcterms:W3CDTF">2026-07-15T06:47:40Z</dcterms:created>
  <dcterms:modified xsi:type="dcterms:W3CDTF">2026-07-15T06:47:40Z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