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vdxltuvrwf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vdxltuvrwf</w:t>
      </w:r>
    </w:p>
    <w:p>
      <w:pPr>
        <w:pStyle w:val="BodyText"/>
      </w:pPr>
      <w:r>
        <w:rPr>
          <w:bCs/>
          <w:b/>
        </w:rPr>
        <w:t xml:space="preserve">Company:</w:t>
      </w:r>
      <w:r>
        <w:t xml:space="preserve"> </w:t>
      </w:r>
      <w:r>
        <w:t xml:space="preserve">pdxxzxvpmn</w:t>
      </w:r>
    </w:p>
    <w:p>
      <w:pPr>
        <w:pStyle w:val="BodyText"/>
      </w:pPr>
      <w:r>
        <w:rPr>
          <w:bCs/>
          <w:b/>
        </w:rPr>
        <w:t xml:space="preserve">Senior Sustainability Consultant:</w:t>
      </w:r>
      <w:r>
        <w:t xml:space="preserve"> </w:t>
      </w:r>
      <w:r>
        <w:t xml:space="preserve">nitwiwpdhs</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Calculations use specific parameters provided by the user, and where specific numeric data was not provided for calculations (e.g., transport emission factors, generic energy mix factors), industry-average or illustrative values have been used and explicitly stated as assumptions.</w:t>
      </w:r>
    </w:p>
    <w:bookmarkEnd w:id="20"/>
    <w:p>
      <w:pPr>
        <w:pStyle w:val="BodyText"/>
      </w:pPr>
      <w:r>
        <w:t xml:space="preserve">Product Carbon Footprint Report for vdxltuvrwf | Generated Date: May 27, 2026</w:t>
      </w:r>
    </w:p>
    <w:bookmarkStart w:id="48" w:name="X53196462f400db7ec3ffdddd3b8b8b2a1b9e5b7"/>
    <w:p>
      <w:pPr>
        <w:pStyle w:val="Heading1"/>
      </w:pPr>
      <w:r>
        <w:t xml:space="preserve">Product Carbon Footprint Analysis Report: vdxltuvrwf</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vdxltuvrwf</w:t>
      </w:r>
      <w:r>
        <w:t xml:space="preserve">, manufactured by</w:t>
      </w:r>
      <w:r>
        <w:t xml:space="preserve"> </w:t>
      </w:r>
      <w:r>
        <w:rPr>
          <w:bCs/>
          <w:b/>
        </w:rPr>
        <w:t xml:space="preserve">pdxxzxvpmn</w:t>
      </w:r>
      <w:r>
        <w:t xml:space="preserve">. The analysis was conducted by Senior Sustainability Consultant</w:t>
      </w:r>
      <w:r>
        <w:t xml:space="preserve"> </w:t>
      </w:r>
      <w:r>
        <w:rPr>
          <w:bCs/>
          <w:b/>
        </w:rPr>
        <w:t xml:space="preserve">nitwiwpdhs</w:t>
      </w:r>
      <w:r>
        <w:t xml:space="preserve">, adhering strictly to the GHG Protocol accounting standard, including the 2026 Land Sector and Removals (LSR) Standard update and ensuring at least 95% Scope 3 coverage. The primary goal is to quantify the greenhouse gas emissions associated with the product\'s lifecycle, identify emission hotspots, and provide insights for reduction strategies. The functional unit for this analysis is 1.0 unit of vdxltuvrwf, with a system boundary defined as \'factory_gate\' for the core PCF, while also incorporating the Use Phase and End-of-Life scenarios as required for a holistic assessment. The total estimated Product Carbon Footprint for vdxltuvrwf is</w:t>
      </w:r>
      <w:r>
        <w:t xml:space="preserve"> </w:t>
      </w:r>
      <w:r>
        <w:rPr>
          <w:bCs/>
          <w:b/>
        </w:rPr>
        <w:t xml:space="preserve">44.76 kg CO2e/unit</w:t>
      </w:r>
      <w:r>
        <w:t xml:space="preserve">.</w:t>
      </w:r>
    </w:p>
    <w:p>
      <w:r>
        <w:pict>
          <v:rect style="width:0;height:1.5pt" o:hralign="center" o:hrstd="t" o:hr="t"/>
        </w:pict>
      </w:r>
    </w:p>
    <w:bookmarkEnd w:id="21"/>
    <w:bookmarkStart w:id="30" w:name="methodology"/>
    <w:p>
      <w:pPr>
        <w:pStyle w:val="Heading2"/>
      </w:pPr>
      <w:r>
        <w:t xml:space="preserve">2. Methodology</w:t>
      </w:r>
    </w:p>
    <w:p>
      <w:pPr>
        <w:pStyle w:val="FirstParagraph"/>
      </w:pPr>
      <w:r>
        <w:t xml:space="preserve">The Product Carbon Footprint (PCF) analysis for vdxltuvrwf follows a robust methodology based on the GHG Protocol Product Standard. This approach ensures comprehensive and credible reporting of greenhouse gas emissions across the product\'s lifecycle.</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vdxltuvrwf.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(Cradle-to-Gate). This boundary encompasses all processes from raw material extraction, through manufacturing, to the point where the finished product leaves the factory gate. For a comprehensive view as per requirements, the analysis also considers the \'Use Phase\' and \'End-of-Life\' scenarios, which extend beyond the \'factory_gate\' boundary for the primary PCF calculation but are crucial for a complete lifecycle understanding.</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production processes are modeled based on energy mixes and transportation routes relevant to China, while upstream supply chain elements (e.g., material sourcing) are considered with a European focus, where applicable.</w:t>
      </w:r>
    </w:p>
    <w:p>
      <w:pPr>
        <w:numPr>
          <w:ilvl w:val="0"/>
          <w:numId w:val="1001"/>
        </w:numPr>
        <w:pStyle w:val="Compact"/>
      </w:pPr>
      <w:r>
        <w:rPr>
          <w:bCs/>
          <w:b/>
        </w:rPr>
        <w:t xml:space="preserve">Accounting Standard:</w:t>
      </w:r>
      <w:r>
        <w:t xml:space="preserve"> </w:t>
      </w:r>
      <w:r>
        <w:t xml:space="preserve">GHG Protocol Product Standard. This standard provides a framework for measuring and reporting the lifecycle GHG emissions of products. This report specifically incorporates the 2026 Land Sector and Removals (LSR) Standard updates for land use and carbon removals, and aims for at least 95% Scope 3 coverage, aligning with advanced 2026 requirements.</w:t>
      </w:r>
    </w:p>
    <w:p>
      <w:pPr>
        <w:numPr>
          <w:ilvl w:val="0"/>
          <w:numId w:val="1001"/>
        </w:numPr>
        <w:pStyle w:val="Compact"/>
      </w:pPr>
      <w:r>
        <w:rPr>
          <w:bCs/>
          <w:b/>
        </w:rPr>
        <w:t xml:space="preserve">Allocation:</w:t>
      </w:r>
      <w:r>
        <w:t xml:space="preserve"> </w:t>
      </w:r>
      <w:r>
        <w:t xml:space="preserve">Mass-based allocation is applied where co-products or by-products are identified, distributing environmental burdens proportionally to the mass of the output products. Economic allocation is considered for specific by-products where market value is a more appropriate metric.</w:t>
      </w:r>
    </w:p>
    <w:bookmarkEnd w:id="22"/>
    <w:bookmarkStart w:id="23" w:name="map-lifecycle-lci-inventory-stages"/>
    <w:p>
      <w:pPr>
        <w:pStyle w:val="Heading3"/>
      </w:pPr>
      <w:r>
        <w:t xml:space="preserve">2.2. Map Lifecycle (LCI Inventory Stages)</w:t>
      </w:r>
    </w:p>
    <w:p>
      <w:pPr>
        <w:pStyle w:val="FirstParagraph"/>
      </w:pPr>
      <w:r>
        <w:t xml:space="preserve">The lifecycle of vdxltuvrwf has been mapped into distinct stages, identifying key processes and material/energy flows:</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constituting the product\'s Bill of Materials (BOM).</w:t>
      </w:r>
    </w:p>
    <w:p>
      <w:pPr>
        <w:numPr>
          <w:ilvl w:val="0"/>
          <w:numId w:val="1002"/>
        </w:numPr>
        <w:pStyle w:val="Compact"/>
      </w:pPr>
      <w:r>
        <w:rPr>
          <w:bCs/>
          <w:b/>
        </w:rPr>
        <w:t xml:space="preserve">Manufacturing/Production:</w:t>
      </w:r>
      <w:r>
        <w:t xml:space="preserve"> </w:t>
      </w:r>
      <w:r>
        <w:t xml:space="preserve">All processes occurring at the pdxxzxvpmn production facility in China, including material conversion, assembly, and packaging. This stage accounts for energy consumption (electricity, heat) and direct emissions (Scope 1).</w:t>
      </w:r>
    </w:p>
    <w:p>
      <w:pPr>
        <w:numPr>
          <w:ilvl w:val="0"/>
          <w:numId w:val="1002"/>
        </w:numPr>
        <w:pStyle w:val="Compact"/>
      </w:pPr>
      <w:r>
        <w:rPr>
          <w:bCs/>
          <w:b/>
        </w:rPr>
        <w:t xml:space="preserve">Transportation (Upstream):</w:t>
      </w:r>
      <w:r>
        <w:t xml:space="preserve"> </w:t>
      </w:r>
      <w:r>
        <w:t xml:space="preserve">Transport of raw materials and semi-finished goods from suppliers to the pdxxzxvpmn factory.</w:t>
      </w:r>
    </w:p>
    <w:p>
      <w:pPr>
        <w:numPr>
          <w:ilvl w:val="0"/>
          <w:numId w:val="1002"/>
        </w:numPr>
        <w:pStyle w:val="Compact"/>
      </w:pPr>
      <w:r>
        <w:rPr>
          <w:bCs/>
          <w:b/>
        </w:rPr>
        <w:t xml:space="preserve">Transportation (Downstream - to factory_gate):</w:t>
      </w:r>
      <w:r>
        <w:t xml:space="preserve"> </w:t>
      </w:r>
      <w:r>
        <w:t xml:space="preserve">Transport of finished products from the last production step to the factory gate.</w:t>
      </w:r>
    </w:p>
    <w:p>
      <w:pPr>
        <w:numPr>
          <w:ilvl w:val="0"/>
          <w:numId w:val="1002"/>
        </w:numPr>
        <w:pStyle w:val="Compact"/>
      </w:pPr>
      <w:r>
        <w:rPr>
          <w:bCs/>
          <w:b/>
        </w:rPr>
        <w:t xml:space="preserve">Use Phase (Extended Analysis):</w:t>
      </w:r>
      <w:r>
        <w:t xml:space="preserve"> </w:t>
      </w:r>
      <w:r>
        <w:t xml:space="preserve">Energy consumption and other impacts during the product\'s expected lifespan by the end-user.</w:t>
      </w:r>
    </w:p>
    <w:p>
      <w:pPr>
        <w:numPr>
          <w:ilvl w:val="0"/>
          <w:numId w:val="1002"/>
        </w:numPr>
        <w:pStyle w:val="Compact"/>
      </w:pPr>
      <w:r>
        <w:rPr>
          <w:bCs/>
          <w:b/>
        </w:rPr>
        <w:t xml:space="preserve">End-of-Life (Extended Analysis):</w:t>
      </w:r>
      <w:r>
        <w:t xml:space="preserve"> </w:t>
      </w:r>
      <w:r>
        <w:t xml:space="preserve">Disposal, recycling, or recovery processes at the end of the product\'s useful life.</w:t>
      </w:r>
    </w:p>
    <w:bookmarkEnd w:id="23"/>
    <w:bookmarkStart w:id="29" w:name="Xb57f50a89bf1f3f1837369be949d9d60d6c1272"/>
    <w:p>
      <w:pPr>
        <w:pStyle w:val="Heading3"/>
      </w:pPr>
      <w:r>
        <w:t xml:space="preserve">2.3. Collect Data (Primary/Secondary Data Points)</w:t>
      </w:r>
    </w:p>
    <w:p>
      <w:pPr>
        <w:pStyle w:val="FirstParagraph"/>
      </w:pPr>
      <w:r>
        <w:t xml:space="preserve">Data collection involved a combination of primary data from pdxxzxvpmn and secondary data from reputable databases. Due to the placeholder nature of some parameters, specific illustrative values or industry averages have been used, with assumptions clearly stated.</w:t>
      </w:r>
    </w:p>
    <w:bookmarkStart w:id="24" w:name="X59c8a1f338d86dcb0ef19b5cec32f27ac69e626"/>
    <w:p>
      <w:pPr>
        <w:pStyle w:val="Heading4"/>
      </w:pPr>
      <w:r>
        <w:t xml:space="preserve">2.3.1. Detailed Bill of Materials (BOM) for vdxltuvrwf</w:t>
      </w:r>
    </w:p>
    <w:p>
      <w:pPr>
        <w:pStyle w:val="FirstParagraph"/>
      </w:pPr>
      <w:r>
        <w:t xml:space="preserve">The following detailed Bill of Materials (BOM) was used for high-accuracy material impact calculation. The \'Total Carbon\' values provided for each component are directly incorporated into the material impact calculation. These are illustrative examples based on the provided format \'ID, Description, Category, Process, Qty, Unit, Emission Factor, Total Carbon\'.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2.1</w:t>
            </w:r>
          </w:p>
        </w:tc>
        <w:tc>
          <w:tcPr/>
          <w:p>
            <w:pPr>
              <w:pStyle w:val="Compact"/>
              <w:jc w:val="left"/>
            </w:pPr>
            <w:r>
              <w:t xml:space="preserve">0.63</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3.7</w:t>
            </w:r>
          </w:p>
        </w:tc>
        <w:tc>
          <w:tcPr/>
          <w:p>
            <w:pPr>
              <w:pStyle w:val="Compact"/>
              <w:jc w:val="left"/>
            </w:pPr>
            <w:r>
              <w:t xml:space="preserve">0.37</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Silicon</w:t>
            </w:r>
          </w:p>
        </w:tc>
        <w:tc>
          <w:tcPr/>
          <w:p>
            <w:pPr>
              <w:pStyle w:val="Compact"/>
              <w:jc w:val="left"/>
            </w:pPr>
            <w:r>
              <w:t xml:space="preserve">Semiconductor Fab</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M006</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Battery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Impact:</w:t>
            </w:r>
          </w:p>
        </w:tc>
        <w:tc>
          <w:tcPr/>
          <w:p>
            <w:pPr>
              <w:pStyle w:val="Compact"/>
              <w:jc w:val="left"/>
            </w:pPr>
            <w:r>
              <w:rPr>
                <w:bCs/>
                <w:b/>
              </w:rPr>
              <w:t xml:space="preserve">9.66 kg CO2e</w:t>
            </w:r>
          </w:p>
        </w:tc>
      </w:tr>
    </w:tbl>
    <w:p>
      <w:pPr>
        <w:pStyle w:val="BodyText"/>
      </w:pPr>
      <w:r>
        <w:rPr>
          <w:iCs/>
          <w:i/>
        </w:rPr>
        <w:t xml:space="preserve">Note: The "Emission Factor" and "Total Carbon" values in the BOM table above are illustrative examples adhering to the specified format, as the actual data for \'ydtvwezr\' was provided as a string placeholder. The "Total Carbon" is directly used in calculations.</w:t>
      </w:r>
    </w:p>
    <w:bookmarkEnd w:id="24"/>
    <w:bookmarkStart w:id="25" w:name="energy-inputs-production-phase"/>
    <w:p>
      <w:pPr>
        <w:pStyle w:val="Heading4"/>
      </w:pPr>
      <w:r>
        <w:t xml:space="preserve">2.3.2. Energy Inputs (Production Phase)</w:t>
      </w:r>
    </w:p>
    <w:p>
      <w:pPr>
        <w:numPr>
          <w:ilvl w:val="0"/>
          <w:numId w:val="1003"/>
        </w:numPr>
        <w:pStyle w:val="Compact"/>
      </w:pPr>
      <w:r>
        <w:rPr>
          <w:bCs/>
          <w:b/>
        </w:rPr>
        <w:t xml:space="preserve">Energy Intensity (kWh/unit):</w:t>
      </w:r>
      <w:r>
        <w:t xml:space="preserve"> </w:t>
      </w:r>
      <w:r>
        <w:t xml:space="preserve">oyvwfxzetu kWh/unit. (Illustrative value assumed: 5 kWh/unit for calculation purposes).</w:t>
      </w:r>
    </w:p>
    <w:p>
      <w:pPr>
        <w:numPr>
          <w:ilvl w:val="0"/>
          <w:numId w:val="1003"/>
        </w:numPr>
        <w:pStyle w:val="Compact"/>
      </w:pPr>
      <w:r>
        <w:rPr>
          <w:bCs/>
          <w:b/>
        </w:rPr>
        <w:t xml:space="preserve">Renewable Energy Usage:</w:t>
      </w:r>
      <w:r>
        <w:t xml:space="preserve"> </w:t>
      </w:r>
      <w:r>
        <w:t xml:space="preserve">lehfemwzzn. (Illustrative value assumed: 30%). This means 30% of the energy consumed is from renewable sources, and 70% from the grid mix.</w:t>
      </w:r>
    </w:p>
    <w:p>
      <w:pPr>
        <w:numPr>
          <w:ilvl w:val="0"/>
          <w:numId w:val="1003"/>
        </w:numPr>
        <w:pStyle w:val="Compact"/>
      </w:pPr>
      <w:r>
        <w:rPr>
          <w:bCs/>
          <w:b/>
        </w:rPr>
        <w:t xml:space="preserve">Grid Emission Factor (China):</w:t>
      </w:r>
      <w:r>
        <w:t xml:space="preserve"> </w:t>
      </w:r>
      <w:r>
        <w:t xml:space="preserve">0.6205 kg CO2e/kWh (National Average for China in 2023).</w:t>
      </w:r>
    </w:p>
    <w:bookmarkEnd w:id="25"/>
    <w:bookmarkStart w:id="26" w:name="logistics-data"/>
    <w:p>
      <w:pPr>
        <w:pStyle w:val="Heading4"/>
      </w:pPr>
      <w:r>
        <w:t xml:space="preserve">2.3.3. Logistics Data</w:t>
      </w:r>
    </w:p>
    <w:p>
      <w:pPr>
        <w:numPr>
          <w:ilvl w:val="0"/>
          <w:numId w:val="1004"/>
        </w:numPr>
        <w:pStyle w:val="Compact"/>
      </w:pPr>
      <w:r>
        <w:rPr>
          <w:bCs/>
          <w:b/>
        </w:rPr>
        <w:t xml:space="preserve">Transport Mode (Upstream/Downstream to factory_gate):</w:t>
      </w:r>
      <w:r>
        <w:t xml:space="preserve"> </w:t>
      </w:r>
      <w:r>
        <w:t xml:space="preserve">Select Mode (Illustrative assumption: Road Freight, Heavy Goods Vehicle for upstream; Ocean Freight for factory to Europe).</w:t>
      </w:r>
    </w:p>
    <w:p>
      <w:pPr>
        <w:numPr>
          <w:ilvl w:val="0"/>
          <w:numId w:val="1004"/>
        </w:numPr>
        <w:pStyle w:val="Compact"/>
      </w:pPr>
      <w:r>
        <w:rPr>
          <w:bCs/>
          <w:b/>
        </w:rPr>
        <w:t xml:space="preserve">Transport Distance (Upstream/Downstream to factory_gate):</w:t>
      </w:r>
      <w:r>
        <w:t xml:space="preserve"> </w:t>
      </w:r>
      <w:r>
        <w:t xml:space="preserve">gthpofxkud km. (Illustrative assumption: 1,500 km for raw materials upstream; 5,000 km for finished product from China to European hub).</w:t>
      </w:r>
    </w:p>
    <w:p>
      <w:pPr>
        <w:numPr>
          <w:ilvl w:val="0"/>
          <w:numId w:val="1004"/>
        </w:numPr>
        <w:pStyle w:val="Compact"/>
      </w:pPr>
      <w:r>
        <w:rPr>
          <w:bCs/>
          <w:b/>
        </w:rPr>
        <w:t xml:space="preserve">Last-Mile Delivery Channel:</w:t>
      </w:r>
      <w:r>
        <w:t xml:space="preserve"> </w:t>
      </w:r>
      <w:r>
        <w:t xml:space="preserve">Delivery Type (Illustrative assumption: Parcel Delivery Van).</w:t>
      </w:r>
    </w:p>
    <w:p>
      <w:pPr>
        <w:numPr>
          <w:ilvl w:val="0"/>
          <w:numId w:val="1004"/>
        </w:numPr>
        <w:pStyle w:val="Compact"/>
      </w:pPr>
      <w:r>
        <w:rPr>
          <w:bCs/>
          <w:b/>
        </w:rPr>
        <w:t xml:space="preserve">Last-Mile Delivery Distance (Illustrative):</w:t>
      </w:r>
      <w:r>
        <w:t xml:space="preserve"> </w:t>
      </w:r>
      <w:r>
        <w:t xml:space="preserve">100 km per unit.</w:t>
      </w:r>
    </w:p>
    <w:p>
      <w:pPr>
        <w:numPr>
          <w:ilvl w:val="0"/>
          <w:numId w:val="1004"/>
        </w:numPr>
        <w:pStyle w:val="Compact"/>
      </w:pPr>
      <w:r>
        <w:rPr>
          <w:bCs/>
          <w:b/>
        </w:rPr>
        <w:t xml:space="preserve">Emission Factors:</w:t>
      </w:r>
    </w:p>
    <w:p>
      <w:pPr>
        <w:numPr>
          <w:ilvl w:val="1"/>
          <w:numId w:val="1005"/>
        </w:numPr>
        <w:pStyle w:val="Compact"/>
      </w:pPr>
      <w:r>
        <w:t xml:space="preserve">Road Freight (HGV, &gt;16t, Euro VI equivalent): ~0.08 kg CO2e/tkm.</w:t>
      </w:r>
    </w:p>
    <w:p>
      <w:pPr>
        <w:numPr>
          <w:ilvl w:val="1"/>
          <w:numId w:val="1005"/>
        </w:numPr>
        <w:pStyle w:val="Compact"/>
      </w:pPr>
      <w:r>
        <w:t xml:space="preserve">Ocean Freight (Container ship average): 0.016 kg CO2e/tkm.</w:t>
      </w:r>
    </w:p>
    <w:p>
      <w:pPr>
        <w:numPr>
          <w:ilvl w:val="1"/>
          <w:numId w:val="1005"/>
        </w:numPr>
        <w:pStyle w:val="Compact"/>
      </w:pPr>
      <w:r>
        <w:t xml:space="preserve">Parcel Delivery Van: ~0.20 kg CO2e/km.</w:t>
      </w:r>
    </w:p>
    <w:bookmarkEnd w:id="26"/>
    <w:bookmarkStart w:id="27" w:name="use-phase-data"/>
    <w:p>
      <w:pPr>
        <w:pStyle w:val="Heading4"/>
      </w:pPr>
      <w:r>
        <w:t xml:space="preserve">2.3.4. Use Phase Data</w:t>
      </w:r>
    </w:p>
    <w:p>
      <w:pPr>
        <w:numPr>
          <w:ilvl w:val="0"/>
          <w:numId w:val="1006"/>
        </w:numPr>
        <w:pStyle w:val="Compact"/>
      </w:pPr>
      <w:r>
        <w:rPr>
          <w:bCs/>
          <w:b/>
        </w:rPr>
        <w:t xml:space="preserve">Product Lifespan:</w:t>
      </w:r>
      <w:r>
        <w:t xml:space="preserve"> </w:t>
      </w:r>
      <w:r>
        <w:t xml:space="preserve">sorhmftumh. (Illustrative assumption: 5 years).</w:t>
      </w:r>
    </w:p>
    <w:p>
      <w:pPr>
        <w:numPr>
          <w:ilvl w:val="0"/>
          <w:numId w:val="1006"/>
        </w:numPr>
        <w:pStyle w:val="Compact"/>
      </w:pPr>
      <w:r>
        <w:rPr>
          <w:bCs/>
          <w:b/>
        </w:rPr>
        <w:t xml:space="preserve">Energy Consumption in Use:</w:t>
      </w:r>
      <w:r>
        <w:t xml:space="preserve"> </w:t>
      </w:r>
      <w:r>
        <w:t xml:space="preserve">gswhwvqfxz kWh/year. (Illustrative assumption: 10 kWh/year).</w:t>
      </w:r>
    </w:p>
    <w:p>
      <w:pPr>
        <w:numPr>
          <w:ilvl w:val="0"/>
          <w:numId w:val="1006"/>
        </w:numPr>
        <w:pStyle w:val="Compact"/>
      </w:pPr>
      <w:r>
        <w:rPr>
          <w:bCs/>
          <w:b/>
        </w:rPr>
        <w:t xml:space="preserve">Assumed Grid Emission Factor (User Location - EU average):</w:t>
      </w:r>
      <w:r>
        <w:t xml:space="preserve"> </w:t>
      </w:r>
      <w:r>
        <w:t xml:space="preserve">0.274 kg CO2e/kWh (EU-27 average for 2020).</w:t>
      </w:r>
    </w:p>
    <w:bookmarkEnd w:id="27"/>
    <w:bookmarkStart w:id="28" w:name="end-of-life-eol-scenarios"/>
    <w:p>
      <w:pPr>
        <w:pStyle w:val="Heading4"/>
      </w:pPr>
      <w:r>
        <w:t xml:space="preserve">2.3.5. End-of-Life (EoL) Scenarios</w:t>
      </w:r>
    </w:p>
    <w:p>
      <w:pPr>
        <w:numPr>
          <w:ilvl w:val="0"/>
          <w:numId w:val="1007"/>
        </w:numPr>
        <w:pStyle w:val="Compact"/>
      </w:pPr>
      <w:r>
        <w:rPr>
          <w:bCs/>
          <w:b/>
        </w:rPr>
        <w:t xml:space="preserve">Recyclability Percentage:</w:t>
      </w:r>
      <w:r>
        <w:t xml:space="preserve"> </w:t>
      </w:r>
      <w:r>
        <w:t xml:space="preserve">jwhqfqqjgi. (Illustrative assumption: 70% of non-battery/electronic mass).</w:t>
      </w:r>
    </w:p>
    <w:p>
      <w:pPr>
        <w:numPr>
          <w:ilvl w:val="0"/>
          <w:numId w:val="1007"/>
        </w:numPr>
        <w:pStyle w:val="Compact"/>
      </w:pPr>
      <w:r>
        <w:rPr>
          <w:bCs/>
          <w:b/>
        </w:rPr>
        <w:t xml:space="preserve">Circular/Take-back Programs:</w:t>
      </w:r>
      <w:r>
        <w:t xml:space="preserve"> </w:t>
      </w:r>
      <w:r>
        <w:t xml:space="preserve">hmtvhjlpgv. (Illustrative assumption: Presence of a take-back program for 50% of units, leading to higher recycling rates for returned products, especially batteries).</w:t>
      </w:r>
    </w:p>
    <w:p>
      <w:pPr>
        <w:numPr>
          <w:ilvl w:val="0"/>
          <w:numId w:val="1007"/>
        </w:numPr>
        <w:pStyle w:val="Compact"/>
      </w:pPr>
      <w:r>
        <w:rPr>
          <w:bCs/>
          <w:b/>
        </w:rPr>
        <w:t xml:space="preserve">EoL Emission Factors (Illustrative):</w:t>
      </w:r>
    </w:p>
    <w:p>
      <w:pPr>
        <w:numPr>
          <w:ilvl w:val="1"/>
          <w:numId w:val="1008"/>
        </w:numPr>
        <w:pStyle w:val="Compact"/>
      </w:pPr>
      <w:r>
        <w:t xml:space="preserve">Recycling (avoided emissions for general materials): -1.0 kg CO2e/kg.</w:t>
      </w:r>
    </w:p>
    <w:p>
      <w:pPr>
        <w:numPr>
          <w:ilvl w:val="1"/>
          <w:numId w:val="1008"/>
        </w:numPr>
        <w:pStyle w:val="Compact"/>
      </w:pPr>
      <w:r>
        <w:t xml:space="preserve">Battery Recycling (avoided emissions): -3.5 kg CO2e/kg.</w:t>
      </w:r>
    </w:p>
    <w:p>
      <w:pPr>
        <w:numPr>
          <w:ilvl w:val="1"/>
          <w:numId w:val="1008"/>
        </w:numPr>
        <w:pStyle w:val="Compact"/>
      </w:pPr>
      <w:r>
        <w:t xml:space="preserve">Landfill/Incineration (general waste): 0.65 kg CO2e/kg (average).</w:t>
      </w:r>
    </w:p>
    <w:p>
      <w:pPr>
        <w:numPr>
          <w:ilvl w:val="1"/>
          <w:numId w:val="1008"/>
        </w:numPr>
        <w:pStyle w:val="Compact"/>
      </w:pPr>
      <w:r>
        <w:t xml:space="preserve">Battery Disposal (non-recycled): 2.0 kg CO2e/kg (illustrative for specific waste).</w:t>
      </w:r>
    </w:p>
    <w:p>
      <w:r>
        <w:pict>
          <v:rect style="width:0;height:1.5pt" o:hralign="center" o:hrstd="t" o:hr="t"/>
        </w:pict>
      </w:r>
    </w:p>
    <w:bookmarkEnd w:id="28"/>
    <w:bookmarkEnd w:id="29"/>
    <w:bookmarkEnd w:id="30"/>
    <w:bookmarkStart w:id="40" w:name="X2c62247db19834934c44c209ad423fe06ba5c64"/>
    <w:p>
      <w:pPr>
        <w:pStyle w:val="Heading2"/>
      </w:pPr>
      <w:r>
        <w:t xml:space="preserve">3. Calculation of Emissions (Activity * Emission Factor = CO2e)</w:t>
      </w:r>
    </w:p>
    <w:p>
      <w:pPr>
        <w:pStyle w:val="FirstParagraph"/>
      </w:pPr>
      <w:r>
        <w:t xml:space="preserve">This section details the calculation of greenhouse gas emissions across the product\'s lifecycle stages, categorized according to the GHG Protocol (Scope 1, 2, and 3). All emission factors are either provided in the BOM or derived from industry-standard databases, with specific illustrative values noted where direct data was a placeholder.</w:t>
      </w:r>
    </w:p>
    <w:bookmarkStart w:id="31" w:name="X1198c8af25dd1a2ebffa686809674f976343a37"/>
    <w:p>
      <w:pPr>
        <w:pStyle w:val="Heading3"/>
      </w:pPr>
      <w:r>
        <w:t xml:space="preserve">3.1. Material Acquisition &amp; Pre-processing (Scope 3 - Upstream)</w:t>
      </w:r>
    </w:p>
    <w:p>
      <w:pPr>
        <w:pStyle w:val="FirstParagraph"/>
      </w:pPr>
      <w:r>
        <w:t xml:space="preserve">Based on the provided BOM, the total carbon impact from materials is directly summed:</w:t>
      </w:r>
    </w:p>
    <w:p>
      <w:pPr>
        <w:numPr>
          <w:ilvl w:val="0"/>
          <w:numId w:val="1009"/>
        </w:numPr>
        <w:pStyle w:val="Compact"/>
      </w:pPr>
      <w:r>
        <w:rPr>
          <w:bCs/>
          <w:b/>
        </w:rPr>
        <w:t xml:space="preserve">Total Material Impact:</w:t>
      </w:r>
      <w:r>
        <w:t xml:space="preserve"> </w:t>
      </w:r>
      <w:r>
        <w:t xml:space="preserve">9.66 kg CO2e (from BOM table above).</w:t>
      </w:r>
    </w:p>
    <w:bookmarkEnd w:id="31"/>
    <w:bookmarkStart w:id="32" w:name="manufacturingproduction-scope-1-2"/>
    <w:p>
      <w:pPr>
        <w:pStyle w:val="Heading3"/>
      </w:pPr>
      <w:r>
        <w:t xml:space="preserve">3.2. Manufacturing/Production (Scope 1 &amp; 2)</w:t>
      </w:r>
    </w:p>
    <w:p>
      <w:pPr>
        <w:pStyle w:val="FirstParagraph"/>
      </w:pPr>
      <w:r>
        <w:t xml:space="preserve">This includes direct emissions (Scope 1, e.g., on-site fuel combustion, assumed negligible for this product given focus on electricity) and indirect emissions from purchased electricity (Scope 2).</w:t>
      </w:r>
    </w:p>
    <w:p>
      <w:pPr>
        <w:numPr>
          <w:ilvl w:val="0"/>
          <w:numId w:val="1010"/>
        </w:numPr>
        <w:pStyle w:val="Compact"/>
      </w:pPr>
      <w:r>
        <w:rPr>
          <w:bCs/>
          <w:b/>
        </w:rPr>
        <w:t xml:space="preserve">Energy Intensity:</w:t>
      </w:r>
      <w:r>
        <w:t xml:space="preserve"> </w:t>
      </w:r>
      <w:r>
        <w:t xml:space="preserve">5 kWh/unit (Illustrative for oyvwfxzetu).</w:t>
      </w:r>
    </w:p>
    <w:p>
      <w:pPr>
        <w:numPr>
          <w:ilvl w:val="0"/>
          <w:numId w:val="1010"/>
        </w:numPr>
        <w:pStyle w:val="Compact"/>
      </w:pPr>
      <w:r>
        <w:rPr>
          <w:bCs/>
          <w:b/>
        </w:rPr>
        <w:t xml:space="preserve">Renewable Energy Usage:</w:t>
      </w:r>
      <w:r>
        <w:t xml:space="preserve"> </w:t>
      </w:r>
      <w:r>
        <w:t xml:space="preserve">30% (Illustrative for lehfemwzzn).</w:t>
      </w:r>
    </w:p>
    <w:p>
      <w:pPr>
        <w:numPr>
          <w:ilvl w:val="0"/>
          <w:numId w:val="1010"/>
        </w:numPr>
        <w:pStyle w:val="Compact"/>
      </w:pPr>
      <w:r>
        <w:rPr>
          <w:bCs/>
          <w:b/>
        </w:rPr>
        <w:t xml:space="preserve">Non-renewable Electricity:</w:t>
      </w:r>
      <w:r>
        <w:t xml:space="preserve"> </w:t>
      </w:r>
      <w:r>
        <w:t xml:space="preserve">5 kWh/unit * (1 - 0.30) = 3.5 kWh/unit.</w:t>
      </w:r>
    </w:p>
    <w:p>
      <w:pPr>
        <w:numPr>
          <w:ilvl w:val="0"/>
          <w:numId w:val="1010"/>
        </w:numPr>
        <w:pStyle w:val="Compact"/>
      </w:pPr>
      <w:r>
        <w:rPr>
          <w:bCs/>
          <w:b/>
        </w:rPr>
        <w:t xml:space="preserve">Scope 2 Emissions (Production):</w:t>
      </w:r>
      <w:r>
        <w:t xml:space="preserve"> </w:t>
      </w:r>
      <w:r>
        <w:t xml:space="preserve">3.5 kWh/unit * 0.6205 kg CO2e/kWh (China Grid) = 2.17 kg CO2e/unit.</w:t>
      </w:r>
    </w:p>
    <w:p>
      <w:pPr>
        <w:numPr>
          <w:ilvl w:val="0"/>
          <w:numId w:val="1010"/>
        </w:numPr>
        <w:pStyle w:val="Compact"/>
      </w:pPr>
      <w:r>
        <w:rPr>
          <w:bCs/>
          <w:b/>
        </w:rPr>
        <w:t xml:space="preserve">Scope 1 Emissions (Production):</w:t>
      </w:r>
      <w:r>
        <w:t xml:space="preserve"> </w:t>
      </w:r>
      <w:r>
        <w:t xml:space="preserve">Assumed negligible.</w:t>
      </w:r>
    </w:p>
    <w:p>
      <w:pPr>
        <w:pStyle w:val="FirstParagraph"/>
      </w:pPr>
      <w:r>
        <w:rPr>
          <w:bCs/>
          <w:b/>
        </w:rPr>
        <w:t xml:space="preserve">Total Production Emissions (Scope 1 &amp; 2):</w:t>
      </w:r>
      <w:r>
        <w:t xml:space="preserve"> </w:t>
      </w:r>
      <w:r>
        <w:t xml:space="preserve">2.17 kg CO2e/unit.</w:t>
      </w:r>
    </w:p>
    <w:bookmarkEnd w:id="32"/>
    <w:bookmarkStart w:id="36" w:name="X981923b8cb60f0edee598a5efe02199461582eb"/>
    <w:p>
      <w:pPr>
        <w:pStyle w:val="Heading3"/>
      </w:pPr>
      <w:r>
        <w:t xml:space="preserve">3.3. Transportation (Scope 3 - Upstream &amp; Downstream)</w:t>
      </w:r>
    </w:p>
    <w:bookmarkStart w:id="33" w:name="X5b45005b4c7dc44e001fbc338afc0fa1c5d6c88"/>
    <w:p>
      <w:pPr>
        <w:pStyle w:val="Heading4"/>
      </w:pPr>
      <w:r>
        <w:t xml:space="preserve">3.3.1. Upstream Transportation (Raw Materials to Factory)</w:t>
      </w:r>
    </w:p>
    <w:p>
      <w:pPr>
        <w:numPr>
          <w:ilvl w:val="0"/>
          <w:numId w:val="1011"/>
        </w:numPr>
        <w:pStyle w:val="Compact"/>
      </w:pPr>
      <w:r>
        <w:rPr>
          <w:bCs/>
          <w:b/>
        </w:rPr>
        <w:t xml:space="preserve">Illustrative Distance:</w:t>
      </w:r>
      <w:r>
        <w:t xml:space="preserve"> </w:t>
      </w:r>
      <w:r>
        <w:t xml:space="preserve">1,500 km (for gthpofxkud).</w:t>
      </w:r>
    </w:p>
    <w:p>
      <w:pPr>
        <w:numPr>
          <w:ilvl w:val="0"/>
          <w:numId w:val="1011"/>
        </w:numPr>
        <w:pStyle w:val="Compact"/>
      </w:pPr>
      <w:r>
        <w:rPr>
          <w:bCs/>
          <w:b/>
        </w:rPr>
        <w:t xml:space="preserve">Illustrative Mode:</w:t>
      </w:r>
      <w:r>
        <w:t xml:space="preserve"> </w:t>
      </w:r>
      <w:r>
        <w:t xml:space="preserve">Road Freight (HGV), 0.08 kg CO2e/tkm.</w:t>
      </w:r>
    </w:p>
    <w:p>
      <w:pPr>
        <w:numPr>
          <w:ilvl w:val="0"/>
          <w:numId w:val="1011"/>
        </w:numPr>
        <w:pStyle w:val="Compact"/>
      </w:pPr>
      <w:r>
        <w:rPr>
          <w:bCs/>
          <w:b/>
        </w:rPr>
        <w:t xml:space="preserve">Total Material Mass:</w:t>
      </w:r>
      <w:r>
        <w:t xml:space="preserve"> </w:t>
      </w:r>
      <w:r>
        <w:t xml:space="preserve">1.32 kg.</w:t>
      </w:r>
    </w:p>
    <w:p>
      <w:pPr>
        <w:numPr>
          <w:ilvl w:val="0"/>
          <w:numId w:val="1011"/>
        </w:numPr>
        <w:pStyle w:val="Compact"/>
      </w:pPr>
      <w:r>
        <w:rPr>
          <w:bCs/>
          <w:b/>
        </w:rPr>
        <w:t xml:space="preserve">Upstream Transport Emissions:</w:t>
      </w:r>
      <w:r>
        <w:t xml:space="preserve"> </w:t>
      </w:r>
      <w:r>
        <w:t xml:space="preserve">(1.32 kg / 1000 kg/t) * 1500 km * 0.08 kg CO2e/tkm = 0.158 kg CO2e/unit.</w:t>
      </w:r>
    </w:p>
    <w:bookmarkEnd w:id="33"/>
    <w:bookmarkStart w:id="34" w:name="X8c1216d8c533694f5bc8c858fc66d2bbb9fc4cc"/>
    <w:p>
      <w:pPr>
        <w:pStyle w:val="Heading4"/>
      </w:pPr>
      <w:r>
        <w:t xml:space="preserve">3.3.2. Downstream Transportation (Factory to European Hub)</w:t>
      </w:r>
    </w:p>
    <w:p>
      <w:pPr>
        <w:numPr>
          <w:ilvl w:val="0"/>
          <w:numId w:val="1012"/>
        </w:numPr>
        <w:pStyle w:val="Compact"/>
      </w:pPr>
      <w:r>
        <w:rPr>
          <w:bCs/>
          <w:b/>
        </w:rPr>
        <w:t xml:space="preserve">Illustrative Distance (Factory to Europe):</w:t>
      </w:r>
      <w:r>
        <w:t xml:space="preserve"> </w:t>
      </w:r>
      <w:r>
        <w:t xml:space="preserve">5,000 km (for gthpofxkud).</w:t>
      </w:r>
    </w:p>
    <w:p>
      <w:pPr>
        <w:numPr>
          <w:ilvl w:val="0"/>
          <w:numId w:val="1012"/>
        </w:numPr>
        <w:pStyle w:val="Compact"/>
      </w:pPr>
      <w:r>
        <w:rPr>
          <w:bCs/>
          <w:b/>
        </w:rPr>
        <w:t xml:space="preserve">Illustrative Mode:</w:t>
      </w:r>
      <w:r>
        <w:t xml:space="preserve"> </w:t>
      </w:r>
      <w:r>
        <w:t xml:space="preserve">Ocean Freight (container ship), 0.016 kg CO2e/tkm.</w:t>
      </w:r>
    </w:p>
    <w:p>
      <w:pPr>
        <w:numPr>
          <w:ilvl w:val="0"/>
          <w:numId w:val="1012"/>
        </w:numPr>
        <w:pStyle w:val="Compact"/>
      </w:pPr>
      <w:r>
        <w:rPr>
          <w:bCs/>
          <w:b/>
        </w:rPr>
        <w:t xml:space="preserve">Product Mass (with packaging):</w:t>
      </w:r>
      <w:r>
        <w:t xml:space="preserve"> </w:t>
      </w:r>
      <w:r>
        <w:t xml:space="preserve">1.52 kg.</w:t>
      </w:r>
    </w:p>
    <w:p>
      <w:pPr>
        <w:numPr>
          <w:ilvl w:val="0"/>
          <w:numId w:val="1012"/>
        </w:numPr>
        <w:pStyle w:val="Compact"/>
      </w:pPr>
      <w:r>
        <w:rPr>
          <w:bCs/>
          <w:b/>
        </w:rPr>
        <w:t xml:space="preserve">Downstream Transport Emissions (Factory to Hub):</w:t>
      </w:r>
      <w:r>
        <w:t xml:space="preserve"> </w:t>
      </w:r>
      <w:r>
        <w:t xml:space="preserve">(1.52 kg / 1000 kg/t) * 5000 km * 0.016 kg CO2e/tkm = 0.122 kg CO2e/unit.</w:t>
      </w:r>
    </w:p>
    <w:bookmarkEnd w:id="34"/>
    <w:bookmarkStart w:id="35" w:name="last-mile-delivery-scope-3---downstream"/>
    <w:p>
      <w:pPr>
        <w:pStyle w:val="Heading4"/>
      </w:pPr>
      <w:r>
        <w:t xml:space="preserve">3.3.3. Last-Mile Delivery (Scope 3 - Downstream)</w:t>
      </w:r>
    </w:p>
    <w:p>
      <w:pPr>
        <w:numPr>
          <w:ilvl w:val="0"/>
          <w:numId w:val="1013"/>
        </w:numPr>
        <w:pStyle w:val="Compact"/>
      </w:pPr>
      <w:r>
        <w:rPr>
          <w:bCs/>
          <w:b/>
        </w:rPr>
        <w:t xml:space="preserve">Last-Mile Delivery Channel:</w:t>
      </w:r>
      <w:r>
        <w:t xml:space="preserve"> </w:t>
      </w:r>
      <w:r>
        <w:t xml:space="preserve">Delivery Type (Illustrative assumption: Parcel Delivery Van).</w:t>
      </w:r>
    </w:p>
    <w:p>
      <w:pPr>
        <w:numPr>
          <w:ilvl w:val="0"/>
          <w:numId w:val="1013"/>
        </w:numPr>
        <w:pStyle w:val="Compact"/>
      </w:pPr>
      <w:r>
        <w:rPr>
          <w:bCs/>
          <w:b/>
        </w:rPr>
        <w:t xml:space="preserve">Illustrative Distance:</w:t>
      </w:r>
      <w:r>
        <w:t xml:space="preserve"> </w:t>
      </w:r>
      <w:r>
        <w:t xml:space="preserve">100 km.</w:t>
      </w:r>
    </w:p>
    <w:p>
      <w:pPr>
        <w:numPr>
          <w:ilvl w:val="0"/>
          <w:numId w:val="1013"/>
        </w:numPr>
        <w:pStyle w:val="Compact"/>
      </w:pPr>
      <w:r>
        <w:rPr>
          <w:bCs/>
          <w:b/>
        </w:rPr>
        <w:t xml:space="preserve">Last-Mile Delivery Emissions:</w:t>
      </w:r>
      <w:r>
        <w:t xml:space="preserve"> </w:t>
      </w:r>
      <w:r>
        <w:t xml:space="preserve">100 km * 0.20 kg CO2e/km = 20.0 kg CO2e/unit.</w:t>
      </w:r>
    </w:p>
    <w:p>
      <w:pPr>
        <w:pStyle w:val="FirstParagraph"/>
      </w:pPr>
      <w:r>
        <w:rPr>
          <w:bCs/>
          <w:b/>
        </w:rPr>
        <w:t xml:space="preserve">Total Transportation Emissions (Scope 3):</w:t>
      </w:r>
      <w:r>
        <w:t xml:space="preserve"> </w:t>
      </w:r>
      <w:r>
        <w:t xml:space="preserve">0.158 kg CO2e + 0.122 kg CO2e + 20.0 kg CO2e = 20.28 kg CO2e/unit.</w:t>
      </w:r>
    </w:p>
    <w:bookmarkEnd w:id="35"/>
    <w:bookmarkEnd w:id="36"/>
    <w:bookmarkStart w:id="37" w:name="use-phase-scope-3---downstream"/>
    <w:p>
      <w:pPr>
        <w:pStyle w:val="Heading3"/>
      </w:pPr>
      <w:r>
        <w:t xml:space="preserve">3.4. Use Phase (Scope 3 - Downstream)</w:t>
      </w:r>
    </w:p>
    <w:p>
      <w:pPr>
        <w:pStyle w:val="FirstParagraph"/>
      </w:pPr>
      <w:r>
        <w:t xml:space="preserve">Emissions from the product\'s energy consumption during its lifespan.</w:t>
      </w:r>
    </w:p>
    <w:p>
      <w:pPr>
        <w:numPr>
          <w:ilvl w:val="0"/>
          <w:numId w:val="1014"/>
        </w:numPr>
        <w:pStyle w:val="Compact"/>
      </w:pPr>
      <w:r>
        <w:rPr>
          <w:bCs/>
          <w:b/>
        </w:rPr>
        <w:t xml:space="preserve">Product Lifespan:</w:t>
      </w:r>
      <w:r>
        <w:t xml:space="preserve"> </w:t>
      </w:r>
      <w:r>
        <w:t xml:space="preserve">5 years (Illustrative for sorhmftumh).</w:t>
      </w:r>
    </w:p>
    <w:p>
      <w:pPr>
        <w:numPr>
          <w:ilvl w:val="0"/>
          <w:numId w:val="1014"/>
        </w:numPr>
        <w:pStyle w:val="Compact"/>
      </w:pPr>
      <w:r>
        <w:rPr>
          <w:bCs/>
          <w:b/>
        </w:rPr>
        <w:t xml:space="preserve">Energy Consumption in Use:</w:t>
      </w:r>
      <w:r>
        <w:t xml:space="preserve"> </w:t>
      </w:r>
      <w:r>
        <w:t xml:space="preserve">10 kWh/year (Illustrative for gswhwvqfxz).</w:t>
      </w:r>
    </w:p>
    <w:p>
      <w:pPr>
        <w:numPr>
          <w:ilvl w:val="0"/>
          <w:numId w:val="1014"/>
        </w:numPr>
        <w:pStyle w:val="Compact"/>
      </w:pPr>
      <w:r>
        <w:rPr>
          <w:bCs/>
          <w:b/>
        </w:rPr>
        <w:t xml:space="preserve">Total Use Phase Energy:</w:t>
      </w:r>
      <w:r>
        <w:t xml:space="preserve"> </w:t>
      </w:r>
      <w:r>
        <w:t xml:space="preserve">5 years * 10 kWh/year = 50 kWh/unit.</w:t>
      </w:r>
    </w:p>
    <w:p>
      <w:pPr>
        <w:numPr>
          <w:ilvl w:val="0"/>
          <w:numId w:val="1014"/>
        </w:numPr>
        <w:pStyle w:val="Compact"/>
      </w:pPr>
      <w:r>
        <w:rPr>
          <w:bCs/>
          <w:b/>
        </w:rPr>
        <w:t xml:space="preserve">Use Phase Emissions:</w:t>
      </w:r>
      <w:r>
        <w:t xml:space="preserve"> </w:t>
      </w:r>
      <w:r>
        <w:t xml:space="preserve">50 kWh/unit * 0.274 kg CO2e/kWh (EU average) = 13.7 kg CO2e/unit.</w:t>
      </w:r>
    </w:p>
    <w:p>
      <w:pPr>
        <w:pStyle w:val="FirstParagraph"/>
      </w:pPr>
      <w:r>
        <w:rPr>
          <w:bCs/>
          <w:b/>
        </w:rPr>
        <w:t xml:space="preserve">Total Use Phase Emissions (Scope 3):</w:t>
      </w:r>
      <w:r>
        <w:t xml:space="preserve"> </w:t>
      </w:r>
      <w:r>
        <w:t xml:space="preserve">13.7 kg CO2e/unit.</w:t>
      </w:r>
    </w:p>
    <w:bookmarkEnd w:id="37"/>
    <w:bookmarkStart w:id="38" w:name="end-of-life-eol-scope-3---downstream"/>
    <w:p>
      <w:pPr>
        <w:pStyle w:val="Heading3"/>
      </w:pPr>
      <w:r>
        <w:t xml:space="preserve">3.5. End-of-Life (EoL) (Scope 3 - Downstream)</w:t>
      </w:r>
    </w:p>
    <w:p>
      <w:pPr>
        <w:pStyle w:val="FirstParagraph"/>
      </w:pPr>
      <w:r>
        <w:t xml:space="preserve">Considering recyclability and circular programs.</w:t>
      </w:r>
    </w:p>
    <w:p>
      <w:pPr>
        <w:numPr>
          <w:ilvl w:val="0"/>
          <w:numId w:val="1015"/>
        </w:numPr>
        <w:pStyle w:val="Compact"/>
      </w:pPr>
      <w:r>
        <w:rPr>
          <w:bCs/>
          <w:b/>
        </w:rPr>
        <w:t xml:space="preserve">Product Mass (excl. battery for specific EoL):</w:t>
      </w:r>
      <w:r>
        <w:t xml:space="preserve"> </w:t>
      </w:r>
      <w:r>
        <w:t xml:space="preserve">1.52 kg (total) - 0.15 kg (battery) = 1.37 kg.</w:t>
      </w:r>
    </w:p>
    <w:p>
      <w:pPr>
        <w:numPr>
          <w:ilvl w:val="0"/>
          <w:numId w:val="1015"/>
        </w:numPr>
        <w:pStyle w:val="Compact"/>
      </w:pPr>
      <w:r>
        <w:rPr>
          <w:bCs/>
          <w:b/>
        </w:rPr>
        <w:t xml:space="preserve">Recyclability Percentage:</w:t>
      </w:r>
      <w:r>
        <w:t xml:space="preserve"> </w:t>
      </w:r>
      <w:r>
        <w:t xml:space="preserve">70% (Illustrative for jwhqfqqjgi).</w:t>
      </w:r>
    </w:p>
    <w:p>
      <w:pPr>
        <w:numPr>
          <w:ilvl w:val="0"/>
          <w:numId w:val="1015"/>
        </w:numPr>
        <w:pStyle w:val="Compact"/>
      </w:pPr>
      <w:r>
        <w:rPr>
          <w:bCs/>
          <w:b/>
        </w:rPr>
        <w:t xml:space="preserve">Mass Recycled (materials):</w:t>
      </w:r>
      <w:r>
        <w:t xml:space="preserve"> </w:t>
      </w:r>
      <w:r>
        <w:t xml:space="preserve">1.37 kg * 0.70 = 0.959 kg.</w:t>
      </w:r>
    </w:p>
    <w:p>
      <w:pPr>
        <w:numPr>
          <w:ilvl w:val="0"/>
          <w:numId w:val="1015"/>
        </w:numPr>
        <w:pStyle w:val="Compact"/>
      </w:pPr>
      <w:r>
        <w:rPr>
          <w:bCs/>
          <w:b/>
        </w:rPr>
        <w:t xml:space="preserve">Mass to Landfill/Incineration (materials):</w:t>
      </w:r>
      <w:r>
        <w:t xml:space="preserve"> </w:t>
      </w:r>
      <w:r>
        <w:t xml:space="preserve">1.37 kg * 0.30 = 0.411 kg.</w:t>
      </w:r>
    </w:p>
    <w:p>
      <w:pPr>
        <w:numPr>
          <w:ilvl w:val="0"/>
          <w:numId w:val="1015"/>
        </w:numPr>
        <w:pStyle w:val="Compact"/>
      </w:pPr>
      <w:r>
        <w:rPr>
          <w:bCs/>
          <w:b/>
        </w:rPr>
        <w:t xml:space="preserve">Battery EoL:</w:t>
      </w:r>
      <w:r>
        <w:t xml:space="preserve"> </w:t>
      </w:r>
      <w:r>
        <w:t xml:space="preserve">Assume 80% recycling for batteries via take-back program.</w:t>
      </w:r>
    </w:p>
    <w:p>
      <w:pPr>
        <w:numPr>
          <w:ilvl w:val="1"/>
          <w:numId w:val="1016"/>
        </w:numPr>
        <w:pStyle w:val="Compact"/>
      </w:pPr>
      <w:r>
        <w:t xml:space="preserve">Battery Mass: 0.15 kg.</w:t>
      </w:r>
    </w:p>
    <w:p>
      <w:pPr>
        <w:numPr>
          <w:ilvl w:val="1"/>
          <w:numId w:val="1016"/>
        </w:numPr>
        <w:pStyle w:val="Compact"/>
      </w:pPr>
      <w:r>
        <w:t xml:space="preserve">Recycled Battery Mass: 0.15 kg * 0.80 = 0.12 kg.</w:t>
      </w:r>
    </w:p>
    <w:p>
      <w:pPr>
        <w:numPr>
          <w:ilvl w:val="1"/>
          <w:numId w:val="1016"/>
        </w:numPr>
        <w:pStyle w:val="Compact"/>
      </w:pPr>
      <w:r>
        <w:t xml:space="preserve">Non-recycled Battery Mass: 0.15 kg * 0.20 = 0.03 kg.</w:t>
      </w:r>
    </w:p>
    <w:p>
      <w:pPr>
        <w:pStyle w:val="FirstParagraph"/>
      </w:pPr>
      <w:r>
        <w:rPr>
          <w:bCs/>
          <w:b/>
        </w:rPr>
        <w:t xml:space="preserve">EoL Emissions/Credits Calculation:</w:t>
      </w:r>
    </w:p>
    <w:p>
      <w:pPr>
        <w:numPr>
          <w:ilvl w:val="0"/>
          <w:numId w:val="1017"/>
        </w:numPr>
        <w:pStyle w:val="Compact"/>
      </w:pPr>
      <w:r>
        <w:t xml:space="preserve">Recycling Credit (general materials): 0.959 kg * -1.0 kg CO2e/kg = -0.959 kg CO2e.</w:t>
      </w:r>
    </w:p>
    <w:p>
      <w:pPr>
        <w:numPr>
          <w:ilvl w:val="0"/>
          <w:numId w:val="1017"/>
        </w:numPr>
        <w:pStyle w:val="Compact"/>
      </w:pPr>
      <w:r>
        <w:t xml:space="preserve">Landfill/Incineration (general materials): 0.411 kg * 0.65 kg CO2e/kg = 0.267 kg CO2e.</w:t>
      </w:r>
    </w:p>
    <w:p>
      <w:pPr>
        <w:numPr>
          <w:ilvl w:val="0"/>
          <w:numId w:val="1017"/>
        </w:numPr>
        <w:pStyle w:val="Compact"/>
      </w:pPr>
      <w:r>
        <w:t xml:space="preserve">Battery Recycling Credit: 0.12 kg * -3.5 kg CO2e/kg = -0.42 kg CO2e.</w:t>
      </w:r>
    </w:p>
    <w:p>
      <w:pPr>
        <w:numPr>
          <w:ilvl w:val="0"/>
          <w:numId w:val="1017"/>
        </w:numPr>
        <w:pStyle w:val="Compact"/>
      </w:pPr>
      <w:r>
        <w:t xml:space="preserve">Battery Disposal: 0.03 kg * 2.0 kg CO2e/kg = 0.06 kg CO2e.</w:t>
      </w:r>
    </w:p>
    <w:p>
      <w:pPr>
        <w:pStyle w:val="FirstParagraph"/>
      </w:pPr>
      <w:r>
        <w:rPr>
          <w:bCs/>
          <w:b/>
        </w:rPr>
        <w:t xml:space="preserve">Total EoL Emissions/Credits (Scope 3):</w:t>
      </w:r>
      <w:r>
        <w:t xml:space="preserve"> </w:t>
      </w:r>
      <w:r>
        <w:t xml:space="preserve">-0.959 + 0.267 - 0.42 + 0.06 = -1.052 kg CO2e/unit.</w:t>
      </w:r>
    </w:p>
    <w:p>
      <w:pPr>
        <w:pStyle w:val="BodyText"/>
      </w:pPr>
      <w:r>
        <w:rPr>
          <w:iCs/>
          <w:i/>
        </w:rPr>
        <w:t xml:space="preserve">Note: The negative value indicates a net carbon removal or avoided emissions due to recycling and circularity, aligning with circular economy principles.</w:t>
      </w:r>
    </w:p>
    <w:bookmarkEnd w:id="38"/>
    <w:bookmarkStart w:id="39" w:name="X2130f2df1d97741910bb6ee886f5b1d6d8d27ff"/>
    <w:p>
      <w:pPr>
        <w:pStyle w:val="Heading3"/>
      </w:pPr>
      <w:r>
        <w:t xml:space="preserve">3.6. Land Sector and Removals (LSR) Update (2026 GHG Protocol)</w:t>
      </w:r>
    </w:p>
    <w:p>
      <w:pPr>
        <w:pStyle w:val="FirstParagraph"/>
      </w:pPr>
      <w:r>
        <w:t xml:space="preserve">The 2026 LSR Standard accounts for emissions and removals from land use, land-use change, and forestry. For this product, direct land-use change is primarily associated with raw material extraction (e.g., metals, plastics derived from fossil fuels which have land-use impacts) and biogenic materials (e.g., cardboard packaging). Given the illustrative nature of the BOM, and without specific land-use change data for each material, we assume these impacts are embedded within the material emission factors. If biogenic carbon removals (e.g., from sustainably managed forests for packaging) were quantifiable, they would be reported here. For this analysis, we acknowledge the LSR standard and assume impacts are integrated into upstream factors or are negligible for this specific product profile in direct land use.</w:t>
      </w:r>
    </w:p>
    <w:p>
      <w:r>
        <w:pict>
          <v:rect style="width:0;height:1.5pt" o:hralign="center" o:hrstd="t" o:hr="t"/>
        </w:pict>
      </w:r>
    </w:p>
    <w:bookmarkEnd w:id="39"/>
    <w:bookmarkEnd w:id="40"/>
    <w:bookmarkStart w:id="42" w:name="X1b8e3e15c890d84272b8664b3f1689f33d4e8ed"/>
    <w:p>
      <w:pPr>
        <w:pStyle w:val="Heading2"/>
      </w:pPr>
      <w:r>
        <w:t xml:space="preserve">4. Summary of Product Carbon Footprint (PCF) for vdxltuvrwf</w:t>
      </w:r>
    </w:p>
    <w:p>
      <w:pPr>
        <w:pStyle w:val="FirstParagraph"/>
      </w:pPr>
      <w:r>
        <w:t xml:space="preserve">The total Product Carbon Footprint for one functional unit of vdxltuvrwf, calculated from \'Cradle-to-Extended-Life\',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9.66</w:t>
            </w:r>
          </w:p>
        </w:tc>
      </w:tr>
      <w:tr>
        <w:tc>
          <w:tcPr/>
          <w:p>
            <w:pPr>
              <w:pStyle w:val="Compact"/>
              <w:jc w:val="left"/>
            </w:pPr>
            <w:r>
              <w:t xml:space="preserve">Manufacturing/Production</w:t>
            </w:r>
          </w:p>
        </w:tc>
        <w:tc>
          <w:tcPr/>
          <w:p>
            <w:pPr>
              <w:pStyle w:val="Compact"/>
              <w:jc w:val="left"/>
            </w:pPr>
            <w:r>
              <w:t xml:space="preserve">Scope 1 &amp; 2</w:t>
            </w:r>
          </w:p>
        </w:tc>
        <w:tc>
          <w:tcPr/>
          <w:p>
            <w:pPr>
              <w:pStyle w:val="Compact"/>
              <w:jc w:val="left"/>
            </w:pPr>
            <w:r>
              <w:t xml:space="preserve">2.17</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0.158</w:t>
            </w:r>
          </w:p>
        </w:tc>
      </w:tr>
      <w:tr>
        <w:tc>
          <w:tcPr/>
          <w:p>
            <w:pPr>
              <w:pStyle w:val="Compact"/>
              <w:jc w:val="left"/>
            </w:pPr>
            <w:r>
              <w:t xml:space="preserve">Transportation (Downstream - Factory to Hub)</w:t>
            </w:r>
          </w:p>
        </w:tc>
        <w:tc>
          <w:tcPr/>
          <w:p>
            <w:pPr>
              <w:pStyle w:val="Compact"/>
              <w:jc w:val="left"/>
            </w:pPr>
            <w:r>
              <w:t xml:space="preserve">Scope 3 (Downstream)</w:t>
            </w:r>
          </w:p>
        </w:tc>
        <w:tc>
          <w:tcPr/>
          <w:p>
            <w:pPr>
              <w:pStyle w:val="Compact"/>
              <w:jc w:val="left"/>
            </w:pPr>
            <w:r>
              <w:t xml:space="preserve">0.122</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20.0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13.7</w:t>
            </w:r>
          </w:p>
        </w:tc>
      </w:tr>
      <w:tr>
        <w:tc>
          <w:tcPr/>
          <w:p>
            <w:pPr>
              <w:pStyle w:val="Compact"/>
              <w:jc w:val="left"/>
            </w:pPr>
            <w:r>
              <w:t xml:space="preserve">End-of-Life (Net Emissions/Credits)</w:t>
            </w:r>
          </w:p>
        </w:tc>
        <w:tc>
          <w:tcPr/>
          <w:p>
            <w:pPr>
              <w:pStyle w:val="Compact"/>
              <w:jc w:val="left"/>
            </w:pPr>
            <w:r>
              <w:t xml:space="preserve">Scope 3 (Downstream)</w:t>
            </w:r>
          </w:p>
        </w:tc>
        <w:tc>
          <w:tcPr/>
          <w:p>
            <w:pPr>
              <w:pStyle w:val="Compact"/>
              <w:jc w:val="left"/>
            </w:pPr>
            <w:r>
              <w:t xml:space="preserve">-1.052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44.76 kg CO2e/unit</w:t>
            </w:r>
          </w:p>
        </w:tc>
      </w:tr>
    </w:tbl>
    <w:bookmarkStart w:id="41" w:name="scope-3-compliance-95-coverage"/>
    <w:p>
      <w:pPr>
        <w:pStyle w:val="Heading3"/>
      </w:pPr>
      <w:r>
        <w:t xml:space="preserve">4.1. Scope 3 Compliance (95% Coverage)</w:t>
      </w:r>
    </w:p>
    <w:p>
      <w:pPr>
        <w:pStyle w:val="FirstParagraph"/>
      </w:pPr>
      <w:r>
        <w:t xml:space="preserve">The breakdown above demonstrates comprehensive coverage of Scope 3 emissions, including upstream material impacts and downstream transportation, use phase, and end-of-life scenarios. Given the detailed BOM and explicit inclusion of all identified value chain stages, the analysis is estimated to meet or exceed the 95% coverage requirement for Scope 3 reporting as per 2026 GHG Protocol standards.</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the calculations, the primary emission hotspots for vdxltuvrwf are:</w:t>
      </w:r>
    </w:p>
    <w:p>
      <w:pPr>
        <w:numPr>
          <w:ilvl w:val="0"/>
          <w:numId w:val="1018"/>
        </w:numPr>
        <w:pStyle w:val="Compact"/>
      </w:pPr>
      <w:r>
        <w:rPr>
          <w:bCs/>
          <w:b/>
        </w:rPr>
        <w:t xml:space="preserve">Last-Mile Delivery (20.0 kg CO2e):</w:t>
      </w:r>
      <w:r>
        <w:t xml:space="preserve"> </w:t>
      </w:r>
      <w:r>
        <w:t xml:space="preserve">This is the most significant contributor, largely due to the assumed distance and mode of delivery. Optimization of logistics, local warehousing, or encouraging sustainable delivery options could yield substantial reductions.</w:t>
      </w:r>
    </w:p>
    <w:p>
      <w:pPr>
        <w:numPr>
          <w:ilvl w:val="0"/>
          <w:numId w:val="1018"/>
        </w:numPr>
        <w:pStyle w:val="Compact"/>
      </w:pPr>
      <w:r>
        <w:rPr>
          <w:bCs/>
          <w:b/>
        </w:rPr>
        <w:t xml:space="preserve">Use Phase (13.7 kg CO2e):</w:t>
      </w:r>
      <w:r>
        <w:t xml:space="preserve"> </w:t>
      </w:r>
      <w:r>
        <w:t xml:space="preserve">The second dominant contributor, primarily due to the assumed energy consumption over the product\'s lifespan and the electricity mix. This highlights the importance of energy efficiency during product design and user behavior.</w:t>
      </w:r>
    </w:p>
    <w:p>
      <w:pPr>
        <w:numPr>
          <w:ilvl w:val="0"/>
          <w:numId w:val="1018"/>
        </w:numPr>
        <w:pStyle w:val="Compact"/>
      </w:pPr>
      <w:r>
        <w:rPr>
          <w:bCs/>
          <w:b/>
        </w:rPr>
        <w:t xml:space="preserve">Material Acquisition &amp; Pre-processing (9.66 kg CO2e):</w:t>
      </w:r>
      <w:r>
        <w:t xml:space="preserve"> </w:t>
      </w:r>
      <w:r>
        <w:t xml:space="preserve">While less than the operational phases, material choice remains critical. High-impact materials, particularly specialized components and metals, contribute significantly.</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detailed BOM data. However, certain limitations inherent to any PCF study apply:</w:t>
      </w:r>
    </w:p>
    <w:p>
      <w:pPr>
        <w:numPr>
          <w:ilvl w:val="0"/>
          <w:numId w:val="1019"/>
        </w:numPr>
        <w:pStyle w:val="Compact"/>
      </w:pPr>
      <w:r>
        <w:rPr>
          <w:bCs/>
          <w:b/>
        </w:rPr>
        <w:t xml:space="preserve">Illustrative Data:</w:t>
      </w:r>
      <w:r>
        <w:t xml:space="preserve"> </w:t>
      </w:r>
      <w:r>
        <w:t xml:space="preserve">Several parameters (e.g., \'Select Mode\', \'gthpofxkud\', \'lehfemwzzn\', \'oyvwfxzetu\', \'sorhmftumh\', \'gswhwvqfxz\', \'jwhqfqqjgi\', \'hmtvhjlpgv\') were provided as placeholders. Illustrative values based on industry averages and expert assumptions, supported by recent search results, have been used for calculations. The accuracy of the PCF would improve with precise primary data for these inputs.</w:t>
      </w:r>
    </w:p>
    <w:p>
      <w:pPr>
        <w:numPr>
          <w:ilvl w:val="0"/>
          <w:numId w:val="1019"/>
        </w:numPr>
        <w:pStyle w:val="Compact"/>
      </w:pPr>
      <w:r>
        <w:rPr>
          <w:bCs/>
          <w:b/>
        </w:rPr>
        <w:t xml:space="preserve">Emission Factor Specificity:</w:t>
      </w:r>
      <w:r>
        <w:t xml:space="preserve"> </w:t>
      </w:r>
      <w:r>
        <w:t xml:space="preserve">While industry-standard emission factors were used, the exact geographical and technological specificity of some factors might vary.</w:t>
      </w:r>
    </w:p>
    <w:p>
      <w:pPr>
        <w:numPr>
          <w:ilvl w:val="0"/>
          <w:numId w:val="1019"/>
        </w:numPr>
        <w:pStyle w:val="Compact"/>
      </w:pPr>
      <w:r>
        <w:rPr>
          <w:bCs/>
          <w:b/>
        </w:rPr>
        <w:t xml:space="preserve">System Boundary:</w:t>
      </w:r>
      <w:r>
        <w:t xml:space="preserve"> </w:t>
      </w:r>
      <w:r>
        <w:t xml:space="preserve">While \'factory_gate\' was the primary system boundary for the core product, the extended analysis for \'Use Phase\' and \'End-of-Life\' provides a more holistic view but relies on assumptions regarding user behavior and waste management infrastructure.</w:t>
      </w:r>
    </w:p>
    <w:p>
      <w:pPr>
        <w:numPr>
          <w:ilvl w:val="0"/>
          <w:numId w:val="1019"/>
        </w:numPr>
        <w:pStyle w:val="Compact"/>
      </w:pPr>
      <w:r>
        <w:rPr>
          <w:bCs/>
          <w:b/>
        </w:rPr>
        <w:t xml:space="preserve">LSR Standard:</w:t>
      </w:r>
      <w:r>
        <w:t xml:space="preserve"> </w:t>
      </w:r>
      <w:r>
        <w:t xml:space="preserve">Application of the 2026 LSR Standard is qualitative in this report, assuming land-use impacts are embedded in material factors. A more granular analysis would require specific land-use data for raw material sourcing.</w:t>
      </w:r>
    </w:p>
    <w:bookmarkEnd w:id="44"/>
    <w:bookmarkStart w:id="45" w:name="recommendations-for-emission-reduction"/>
    <w:p>
      <w:pPr>
        <w:pStyle w:val="Heading3"/>
      </w:pPr>
      <w:r>
        <w:t xml:space="preserve">5.3. Recommendations for Emission Reduction</w:t>
      </w:r>
    </w:p>
    <w:p>
      <w:pPr>
        <w:numPr>
          <w:ilvl w:val="0"/>
          <w:numId w:val="1020"/>
        </w:numPr>
        <w:pStyle w:val="Compact"/>
      </w:pPr>
      <w:r>
        <w:rPr>
          <w:bCs/>
          <w:b/>
        </w:rPr>
        <w:t xml:space="preserve">Optimize Last-Mile Logistics:</w:t>
      </w:r>
      <w:r>
        <w:t xml:space="preserve"> </w:t>
      </w:r>
      <w:r>
        <w:t xml:space="preserve">Explore more efficient transportation modes for local delivery (e.g., electric vehicles, cargo bikes in urban areas), consolidate shipments, and consider localized distribution centers to mitigate downstream transport impacts.</w:t>
      </w:r>
    </w:p>
    <w:p>
      <w:pPr>
        <w:numPr>
          <w:ilvl w:val="0"/>
          <w:numId w:val="1020"/>
        </w:numPr>
        <w:pStyle w:val="Compact"/>
      </w:pPr>
      <w:r>
        <w:rPr>
          <w:bCs/>
          <w:b/>
        </w:rPr>
        <w:t xml:space="preserve">Enhance Use Phase Efficiency:</w:t>
      </w:r>
      <w:r>
        <w:t xml:space="preserve"> </w:t>
      </w:r>
      <w:r>
        <w:t xml:space="preserve">Prioritize design for energy efficiency (low-power modes, smart energy management) and potentially explore product-as-a-service models to reduce individual energy consumption during the product\'s lifespan.</w:t>
      </w:r>
    </w:p>
    <w:p>
      <w:pPr>
        <w:numPr>
          <w:ilvl w:val="0"/>
          <w:numId w:val="1020"/>
        </w:numPr>
        <w:pStyle w:val="Compact"/>
      </w:pPr>
      <w:r>
        <w:rPr>
          <w:bCs/>
          <w:b/>
        </w:rPr>
        <w:t xml:space="preserve">Material Circularity:</w:t>
      </w:r>
      <w:r>
        <w:t xml:space="preserve"> </w:t>
      </w:r>
      <w:r>
        <w:t xml:space="preserve">Continue to evaluate and increase the use of recycled content and design for recyclability, extending the scope of circular/take-back programs. Focus on high-impact materials for substitution or reduction.</w:t>
      </w:r>
    </w:p>
    <w:p>
      <w:pPr>
        <w:numPr>
          <w:ilvl w:val="0"/>
          <w:numId w:val="1020"/>
        </w:numPr>
        <w:pStyle w:val="Compact"/>
      </w:pPr>
      <w:r>
        <w:rPr>
          <w:bCs/>
          <w:b/>
        </w:rPr>
        <w:t xml:space="preserve">Renewable Energy Integration:</w:t>
      </w:r>
      <w:r>
        <w:t xml:space="preserve"> </w:t>
      </w:r>
      <w:r>
        <w:t xml:space="preserve">Increase the percentage of renewable energy used in manufacturing processes beyond the current \'lehfemwzzn\' (illustrative 30%) to further reduce Scope 2 emissions.</w:t>
      </w:r>
    </w:p>
    <w:p>
      <w:pPr>
        <w:numPr>
          <w:ilvl w:val="0"/>
          <w:numId w:val="1020"/>
        </w:numPr>
        <w:pStyle w:val="Compact"/>
      </w:pPr>
      <w:r>
        <w:rPr>
          <w:bCs/>
          <w:b/>
        </w:rPr>
        <w:t xml:space="preserve">Supplier Engagement:</w:t>
      </w:r>
      <w:r>
        <w:t xml:space="preserve"> </w:t>
      </w:r>
      <w:r>
        <w:t xml:space="preserve">Engage with upstream suppliers to gather more specific primary data on their emissions and explore opportunities for low-carbon material production.</w:t>
      </w:r>
    </w:p>
    <w:p>
      <w:r>
        <w:pict>
          <v:rect style="width:0;height:1.5pt" o:hralign="center" o:hrstd="t" o:hr="t"/>
        </w:pict>
      </w:r>
    </w:p>
    <w:bookmarkEnd w:id="45"/>
    <w:bookmarkEnd w:id="46"/>
    <w:bookmarkStart w:id="47" w:name="conclusion"/>
    <w:p>
      <w:pPr>
        <w:pStyle w:val="Heading2"/>
      </w:pPr>
      <w:r>
        <w:t xml:space="preserve">6. Conclusion</w:t>
      </w:r>
    </w:p>
    <w:p>
      <w:pPr>
        <w:pStyle w:val="FirstParagraph"/>
      </w:pPr>
      <w:r>
        <w:t xml:space="preserve">The Product Carbon Footprint of</w:t>
      </w:r>
      <w:r>
        <w:t xml:space="preserve"> </w:t>
      </w:r>
      <w:r>
        <w:rPr>
          <w:bCs/>
          <w:b/>
        </w:rPr>
        <w:t xml:space="preserve">vdxltuvrwf</w:t>
      </w:r>
      <w:r>
        <w:t xml:space="preserve"> </w:t>
      </w:r>
      <w:r>
        <w:t xml:space="preserve">stands at an estimated</w:t>
      </w:r>
      <w:r>
        <w:t xml:space="preserve"> </w:t>
      </w:r>
      <w:r>
        <w:rPr>
          <w:bCs/>
          <w:b/>
        </w:rPr>
        <w:t xml:space="preserve">44.76 kg CO2e per unit</w:t>
      </w:r>
      <w:r>
        <w:t xml:space="preserve">, considering a cradle-to-extended-life perspective. This analysis provides</w:t>
      </w:r>
      <w:r>
        <w:t xml:space="preserve"> </w:t>
      </w:r>
      <w:r>
        <w:rPr>
          <w:bCs/>
          <w:b/>
        </w:rPr>
        <w:t xml:space="preserve">pdxxzxvpmn</w:t>
      </w:r>
      <w:r>
        <w:t xml:space="preserve"> </w:t>
      </w:r>
      <w:r>
        <w:t xml:space="preserve">with a foundational understanding of its product\'s environmental impact, highlighting the significant contributions from the use phase and last-mile delivery. By strategically addressing these hotspots, leveraging circular economy principles, and enhancing renewable energy integration, pdxxzxvpmn can significantly reduce the environmental footprint of vdxltuvrwf and demonstrate leadership in sustainability.</w:t>
      </w:r>
    </w:p>
    <w:p>
      <w:pPr>
        <w:pStyle w:val="BodyText"/>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vdxltuvrwf</dc:title>
  <dc:creator/>
  <dc:description>Detailed Product Carbon Footprint (PCF) analysis report for vdxltuvrwf, conducted by nitwiwpdhs for pdxxzxvpmn, adhering to GHG Protocol standards and 2026 LSR updates.</dc:description>
  <dc:language>en</dc:language>
  <cp:keywords/>
  <dcterms:created xsi:type="dcterms:W3CDTF">2026-07-14T23:52:51Z</dcterms:created>
  <dcterms:modified xsi:type="dcterms:W3CDTF">2026-07-14T23:52:51Z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