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vdooeoifzr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vdooeoifzr</w:t>
      </w:r>
    </w:p>
    <w:p>
      <w:pPr>
        <w:pStyle w:val="BodyText"/>
      </w:pPr>
      <w:r>
        <w:rPr>
          <w:bCs/>
          <w:b/>
        </w:rPr>
        <w:t xml:space="preserve">Company:</w:t>
      </w:r>
      <w:r>
        <w:t xml:space="preserve"> </w:t>
      </w:r>
      <w:r>
        <w:t xml:space="preserve">qzxkssrzjw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yjoxuxxelh</w:t>
      </w:r>
    </w:p>
    <w:p>
      <w:pPr>
        <w:pStyle w:val="BodyText"/>
      </w:pPr>
      <w:r>
        <w:rPr>
          <w:iCs/>
          <w:i/>
        </w:rPr>
        <w:t xml:space="preserve">Disclaimer: This report is generated based on available data and industry standards. While efforts have been made to ensure accuracy, the actual carbon footprint may vary depending on real-world conditions, specific supplier data, and evolving methodologies.</w:t>
      </w:r>
    </w:p>
    <w:bookmarkEnd w:id="20"/>
    <w:p>
      <w:pPr>
        <w:pStyle w:val="BodyText"/>
      </w:pPr>
      <w:r>
        <w:t xml:space="preserve">Generated Date: May 19, 2026</w:t>
      </w:r>
    </w:p>
    <w:bookmarkStart w:id="48" w:name="X36599c6f50bb72c8561e26117846f8b31007f20"/>
    <w:p>
      <w:pPr>
        <w:pStyle w:val="Heading1"/>
      </w:pPr>
      <w:r>
        <w:t xml:space="preserve">Product Carbon Footprint Analysis Report: vdooeoifzr</w:t>
      </w:r>
    </w:p>
    <w:p>
      <w:pPr>
        <w:pStyle w:val="FirstParagraph"/>
      </w:pPr>
      <w:r>
        <w:t xml:space="preserve">This report presents a high-detail Product Carbon Footprint (PCF) analysis for the product</w:t>
      </w:r>
      <w:r>
        <w:t xml:space="preserve"> </w:t>
      </w:r>
      <w:r>
        <w:rPr>
          <w:bCs/>
          <w:b/>
        </w:rPr>
        <w:t xml:space="preserve">vdooeoifzr</w:t>
      </w:r>
      <w:r>
        <w:t xml:space="preserve">, conducted by</w:t>
      </w:r>
      <w:r>
        <w:t xml:space="preserve"> </w:t>
      </w:r>
      <w:r>
        <w:rPr>
          <w:bCs/>
          <w:b/>
        </w:rPr>
        <w:t xml:space="preserve">yjoxuxxelh</w:t>
      </w:r>
      <w:r>
        <w:t xml:space="preserve">, Senior Sustainability Consultant at</w:t>
      </w:r>
      <w:r>
        <w:t xml:space="preserve"> </w:t>
      </w:r>
      <w:r>
        <w:rPr>
          <w:bCs/>
          <w:b/>
        </w:rPr>
        <w:t xml:space="preserve">qzxkssrzjw</w:t>
      </w:r>
      <w:r>
        <w:t xml:space="preserve">. The analysis adheres strictly to the GHG Protocol, including considerations for the 2026 Land Sector and Removals (LSR) Standard update and ensuring comprehensive Scope 3 coverage. The aim is to quantify the greenhouse gas (GHG) emissions associated with the product across its lifecycle, identify hotspots, and provide a basis for informed sustainability strategies.</w:t>
      </w:r>
    </w:p>
    <w:p>
      <w:r>
        <w:pict>
          <v:rect style="width:0;height:1.5pt" o:hralign="center" o:hrstd="t" o:hr="t"/>
        </w:pict>
      </w:r>
    </w:p>
    <w:bookmarkStart w:id="25" w:name="methodology-and-scope-definition"/>
    <w:p>
      <w:pPr>
        <w:pStyle w:val="Heading2"/>
      </w:pPr>
      <w:r>
        <w:t xml:space="preserve">1. Methodology and Scope Definition</w:t>
      </w:r>
    </w:p>
    <w:p>
      <w:pPr>
        <w:pStyle w:val="FirstParagraph"/>
      </w:pPr>
      <w:r>
        <w:t xml:space="preserve">The Product Carbon Footprint (PCF) analysis for vdooeoifzr followed a five-step methodology in accordance with the GHG Protocol standards:</w:t>
      </w:r>
    </w:p>
    <w:p>
      <w:pPr>
        <w:numPr>
          <w:ilvl w:val="0"/>
          <w:numId w:val="1001"/>
        </w:numPr>
        <w:pStyle w:val="Compact"/>
      </w:pPr>
      <w:r>
        <w:rPr>
          <w:bCs/>
          <w:b/>
        </w:rPr>
        <w:t xml:space="preserve">Define Scope:</w:t>
      </w:r>
      <w:r>
        <w:t xml:space="preserve"> </w:t>
      </w:r>
      <w:r>
        <w:t xml:space="preserve">Establishing the functional unit, system boundaries, geographic scope, and allocation principles.</w:t>
      </w:r>
    </w:p>
    <w:p>
      <w:pPr>
        <w:numPr>
          <w:ilvl w:val="0"/>
          <w:numId w:val="1001"/>
        </w:numPr>
        <w:pStyle w:val="Compact"/>
      </w:pPr>
      <w:r>
        <w:rPr>
          <w:bCs/>
          <w:b/>
        </w:rPr>
        <w:t xml:space="preserve">Map Lifecycle:</w:t>
      </w:r>
      <w:r>
        <w:t xml:space="preserve"> </w:t>
      </w:r>
      <w:r>
        <w:t xml:space="preserve">Identifying and documenting all relevant lifecycle inventory stages.</w:t>
      </w:r>
    </w:p>
    <w:p>
      <w:pPr>
        <w:numPr>
          <w:ilvl w:val="0"/>
          <w:numId w:val="1001"/>
        </w:numPr>
        <w:pStyle w:val="Compact"/>
      </w:pPr>
      <w:r>
        <w:rPr>
          <w:bCs/>
          <w:b/>
        </w:rPr>
        <w:t xml:space="preserve">Collect Data:</w:t>
      </w:r>
      <w:r>
        <w:t xml:space="preserve"> </w:t>
      </w:r>
      <w:r>
        <w:t xml:space="preserve">Gathering primary and secondary data points for material inputs, energy consumption, and logistics.</w:t>
      </w:r>
    </w:p>
    <w:p>
      <w:pPr>
        <w:numPr>
          <w:ilvl w:val="0"/>
          <w:numId w:val="1001"/>
        </w:numPr>
        <w:pStyle w:val="Compact"/>
      </w:pPr>
      <w:r>
        <w:rPr>
          <w:bCs/>
          <w:b/>
        </w:rPr>
        <w:t xml:space="preserve">Calculate Emissions:</w:t>
      </w:r>
      <w:r>
        <w:t xml:space="preserve"> </w:t>
      </w:r>
      <w:r>
        <w:t xml:space="preserve">Quantifying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Analyzing results, identifying hotspots, assessing data reliability, and preparing the final report.</w:t>
      </w:r>
    </w:p>
    <w:bookmarkStart w:id="21"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w:t>
      </w:r>
      <w:r>
        <w:t xml:space="preserve"> </w:t>
      </w:r>
      <w:r>
        <w:t xml:space="preserve">of vdooeoifzr.</w:t>
      </w:r>
    </w:p>
    <w:bookmarkEnd w:id="21"/>
    <w:bookmarkStart w:id="22" w:name="system-boundary"/>
    <w:p>
      <w:pPr>
        <w:pStyle w:val="Heading3"/>
      </w:pPr>
      <w:r>
        <w:t xml:space="preserve">1.2 System Boundary</w:t>
      </w:r>
    </w:p>
    <w:p>
      <w:pPr>
        <w:pStyle w:val="FirstParagraph"/>
      </w:pPr>
      <w:r>
        <w:t xml:space="preserve">The stated system boundary for direct manufacturing emissions is "factory_gate." However, to provide a comprehensive view of the product\'s environmental impact as requested by the detailed parameters, the analysis extends beyond the factory gate to include upstream (raw material acquisition, inbound logistics), core (manufacturing), and downstream (outbound logistics, use phase, and end-of-life) stages. This approach aligns with a "cradle-to-grave" perspective while clearly delineating emissions attributable to the factory\'s direct operations.</w:t>
      </w:r>
    </w:p>
    <w:bookmarkEnd w:id="22"/>
    <w:bookmarkStart w:id="23"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and/or end-user markets are predominantly in Europe)</w:t>
      </w:r>
    </w:p>
    <w:bookmarkEnd w:id="23"/>
    <w:bookmarkStart w:id="24" w:name="accounting-standard-allocation"/>
    <w:p>
      <w:pPr>
        <w:pStyle w:val="Heading3"/>
      </w:pPr>
      <w:r>
        <w:t xml:space="preserve">1.4 Accounting Standard &amp; Allocation</w:t>
      </w:r>
    </w:p>
    <w:p>
      <w:pPr>
        <w:pStyle w:val="FirstParagraph"/>
      </w:pPr>
      <w:r>
        <w:t xml:space="preserve">This PCF analysis is conducted in strict accordance with the</w:t>
      </w:r>
      <w:r>
        <w:t xml:space="preserve"> </w:t>
      </w:r>
      <w:r>
        <w:rPr>
          <w:bCs/>
          <w:b/>
        </w:rPr>
        <w:t xml:space="preserve">GHG Protocol</w:t>
      </w:r>
      <w:r>
        <w:t xml:space="preserve"> </w:t>
      </w:r>
      <w:r>
        <w:t xml:space="preserve">standards. Emissions are categorized into Scope 1 (direct emissions), Scope 2 (indirect emissions from purchased energy), and Scope 3 (all other indirect emissions in the value chain). Allocation for shared processes or facilities is based on direct material mass and energy consumption attributable to the functional unit.</w:t>
      </w:r>
    </w:p>
    <w:p>
      <w:pPr>
        <w:pStyle w:val="BodyText"/>
      </w:pPr>
      <w:r>
        <w:t xml:space="preserve">The analysis also considered the principles of the</w:t>
      </w:r>
      <w:r>
        <w:t xml:space="preserve"> </w:t>
      </w:r>
      <w:r>
        <w:rPr>
          <w:bCs/>
          <w:b/>
        </w:rPr>
        <w:t xml:space="preserve">2026 Land Sector and Removals (LSR) Standard Update</w:t>
      </w:r>
      <w:r>
        <w:t xml:space="preserve">. While the LSR Standard primarily applies to land management, land-use change, and biogenic carbon removals, its principles are acknowledged. For a product composed primarily of metals, plastics, and electronics, direct biogenic carbon removals or significant land-use change impacts are not directly calculable without specific material origin data. However, the standard\'s holistic view on carbon flows informs the comprehensive approach to the value chain, ensuring that if biogenic materials or removals become relevant for vdooeoifzr in the future, they can be accurately integrated. The LSR Standard, released on January 30, 2026, takes effect on January 1, 2027, and provides methods for quantifying land emissions and CO₂ removals.</w:t>
      </w:r>
    </w:p>
    <w:p>
      <w:r>
        <w:pict>
          <v:rect style="width:0;height:1.5pt" o:hralign="center" o:hrstd="t" o:hr="t"/>
        </w:pict>
      </w:r>
    </w:p>
    <w:bookmarkEnd w:id="24"/>
    <w:bookmarkEnd w:id="25"/>
    <w:bookmarkStart w:id="31" w:name="lifecycle-inventory-lci-data-collection"/>
    <w:p>
      <w:pPr>
        <w:pStyle w:val="Heading2"/>
      </w:pPr>
      <w:r>
        <w:t xml:space="preserve">2. Lifecycle Inventory (LCI) &amp; Data Collection</w:t>
      </w:r>
    </w:p>
    <w:p>
      <w:pPr>
        <w:pStyle w:val="FirstParagraph"/>
      </w:pPr>
      <w:r>
        <w:t xml:space="preserve">This section details the primary and secondary data collected and utilized for the PCF calculation, covering material inputs, energy consumption, logistics, and end-of-life scenarios.</w:t>
      </w:r>
    </w:p>
    <w:bookmarkStart w:id="26" w:name="detailed-bill-of-materials-bom-svuuqsir"/>
    <w:p>
      <w:pPr>
        <w:pStyle w:val="Heading3"/>
      </w:pPr>
      <w:r>
        <w:t xml:space="preserve">2.1 Detailed Bill of Materials (BOM): svuuqsir</w:t>
      </w:r>
    </w:p>
    <w:p>
      <w:pPr>
        <w:pStyle w:val="FirstParagraph"/>
      </w:pPr>
      <w:r>
        <w:t xml:space="preserve">The following detailed Bill of Materials (BOM) was used for high-accuracy material impact calculations. The "Total Carbon" column represents the pre-calculated CO2e for each item, directly incorporated into the analysis as requested.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Screws</w:t>
            </w:r>
          </w:p>
        </w:tc>
        <w:tc>
          <w:tcPr/>
          <w:p>
            <w:pPr>
              <w:pStyle w:val="Compact"/>
              <w:jc w:val="left"/>
            </w:pPr>
            <w:r>
              <w:t xml:space="preserve">Metal</w:t>
            </w:r>
          </w:p>
        </w:tc>
        <w:tc>
          <w:tcPr/>
          <w:p>
            <w:pPr>
              <w:pStyle w:val="Compact"/>
              <w:jc w:val="left"/>
            </w:pPr>
            <w:r>
              <w:t xml:space="preserve">Fabrication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0.04</w:t>
            </w:r>
          </w:p>
        </w:tc>
      </w:tr>
      <w:tr>
        <w:tc>
          <w:tcPr>
            <w:gridSpan w:val="7"/>
          </w:tcPr>
          <w:p>
            <w:pPr>
              <w:pStyle w:val="Compact"/>
              <w:jc w:val="right"/>
            </w:pPr>
            <w:r>
              <w:rPr>
                <w:bCs/>
                <w:b/>
              </w:rPr>
              <w:t xml:space="preserve">Total Material Carbon Impact:</w:t>
            </w:r>
          </w:p>
        </w:tc>
        <w:tc>
          <w:tcPr/>
          <w:p>
            <w:pPr>
              <w:pStyle w:val="Compact"/>
              <w:jc w:val="left"/>
            </w:pPr>
            <w:r>
              <w:rPr>
                <w:bCs/>
                <w:b/>
              </w:rPr>
              <w:t xml:space="preserve">5.99 kg CO2e</w:t>
            </w:r>
          </w:p>
        </w:tc>
      </w:tr>
    </w:tbl>
    <w:bookmarkEnd w:id="26"/>
    <w:bookmarkStart w:id="27" w:name="energy-inputs-production-phase"/>
    <w:p>
      <w:pPr>
        <w:pStyle w:val="Heading3"/>
      </w:pPr>
      <w:r>
        <w:t xml:space="preserve">2.2 Energy Inputs (Production Phase)</w:t>
      </w:r>
    </w:p>
    <w:p>
      <w:pPr>
        <w:numPr>
          <w:ilvl w:val="0"/>
          <w:numId w:val="1003"/>
        </w:numPr>
        <w:pStyle w:val="Compact"/>
      </w:pPr>
      <w:r>
        <w:rPr>
          <w:bCs/>
          <w:b/>
        </w:rPr>
        <w:t xml:space="preserve">Renewable Energy Usage:</w:t>
      </w:r>
      <w:r>
        <w:t xml:space="preserve"> </w:t>
      </w:r>
      <w:r>
        <w:t xml:space="preserve">oidtxlnprj (75%)</w:t>
      </w:r>
    </w:p>
    <w:p>
      <w:pPr>
        <w:numPr>
          <w:ilvl w:val="0"/>
          <w:numId w:val="1003"/>
        </w:numPr>
        <w:pStyle w:val="Compact"/>
      </w:pPr>
      <w:r>
        <w:rPr>
          <w:bCs/>
          <w:b/>
        </w:rPr>
        <w:t xml:space="preserve">Energy Intensity (kWh/unit):</w:t>
      </w:r>
      <w:r>
        <w:t xml:space="preserve"> </w:t>
      </w:r>
      <w:r>
        <w:t xml:space="preserve">ujrrppgdzz (1.5 kWh/unit)</w:t>
      </w:r>
    </w:p>
    <w:p>
      <w:pPr>
        <w:pStyle w:val="FirstParagraph"/>
      </w:pPr>
      <w:r>
        <w:rPr>
          <w:iCs/>
          <w:i/>
        </w:rPr>
        <w:t xml:space="preserve">Assumption:</w:t>
      </w:r>
      <w:r>
        <w:t xml:space="preserve"> </w:t>
      </w:r>
      <w:r>
        <w:t xml:space="preserve">The remaining 25% of energy is sourced from the average electricity grid in China. An illustrative grid emission factor for China of 0.6 kg CO2e/kWh was used for calculations.</w:t>
      </w:r>
    </w:p>
    <w:bookmarkEnd w:id="27"/>
    <w:bookmarkStart w:id="28" w:name="logistics-data-transport"/>
    <w:p>
      <w:pPr>
        <w:pStyle w:val="Heading3"/>
      </w:pPr>
      <w:r>
        <w:t xml:space="preserve">2.3 Logistics Data (Transport)</w:t>
      </w:r>
    </w:p>
    <w:p>
      <w:pPr>
        <w:numPr>
          <w:ilvl w:val="0"/>
          <w:numId w:val="1004"/>
        </w:numPr>
        <w:pStyle w:val="Compact"/>
      </w:pPr>
      <w:r>
        <w:rPr>
          <w:bCs/>
          <w:b/>
        </w:rPr>
        <w:t xml:space="preserve">Transport Mode:</w:t>
      </w:r>
      <w:r>
        <w:t xml:space="preserve"> </w:t>
      </w:r>
      <w:r>
        <w:t xml:space="preserve">Select Mode (Assumed: Ocean Freight for long-haul, Road Transport for short/last-mile)</w:t>
      </w:r>
    </w:p>
    <w:p>
      <w:pPr>
        <w:numPr>
          <w:ilvl w:val="0"/>
          <w:numId w:val="1004"/>
        </w:numPr>
        <w:pStyle w:val="Compact"/>
      </w:pPr>
      <w:r>
        <w:rPr>
          <w:bCs/>
          <w:b/>
        </w:rPr>
        <w:t xml:space="preserve">Transport Distance:</w:t>
      </w:r>
      <w:r>
        <w:t xml:space="preserve"> </w:t>
      </w:r>
      <w:r>
        <w:t xml:space="preserve">ownsotphmt (Assumed: 10,000 km for ocean freight, 500 km for road transport)</w:t>
      </w:r>
    </w:p>
    <w:p>
      <w:pPr>
        <w:numPr>
          <w:ilvl w:val="0"/>
          <w:numId w:val="1004"/>
        </w:numPr>
        <w:pStyle w:val="Compact"/>
      </w:pPr>
      <w:r>
        <w:rPr>
          <w:bCs/>
          <w:b/>
        </w:rPr>
        <w:t xml:space="preserve">Last-Mile Delivery Channel:</w:t>
      </w:r>
      <w:r>
        <w:t xml:space="preserve"> </w:t>
      </w:r>
      <w:r>
        <w:t xml:space="preserve">Delivery Type (Assumed: Parcel service, integrated into road transport emissions)</w:t>
      </w:r>
    </w:p>
    <w:p>
      <w:pPr>
        <w:pStyle w:val="FirstParagraph"/>
      </w:pPr>
      <w:r>
        <w:rPr>
          <w:iCs/>
          <w:i/>
        </w:rPr>
        <w:t xml:space="preserve">Assumption:</w:t>
      </w:r>
      <w:r>
        <w:t xml:space="preserve"> </w:t>
      </w:r>
      <w:r>
        <w:t xml:space="preserve">Illustrative emission factors were applied: Ocean Freight at 0.01 kg CO2e/tonne-km and Road Transport (heavy-duty truck equivalent) at 0.1 kg CO2e/tonne-km. The approximate product weight for transport calculations was estimated at 1 kg (0.001 tonne) based on the BOM.</w:t>
      </w:r>
    </w:p>
    <w:bookmarkEnd w:id="28"/>
    <w:bookmarkStart w:id="29" w:name="use-phase-data"/>
    <w:p>
      <w:pPr>
        <w:pStyle w:val="Heading3"/>
      </w:pPr>
      <w:r>
        <w:t xml:space="preserve">2.4 Use Phase Data</w:t>
      </w:r>
    </w:p>
    <w:p>
      <w:pPr>
        <w:numPr>
          <w:ilvl w:val="0"/>
          <w:numId w:val="1005"/>
        </w:numPr>
        <w:pStyle w:val="Compact"/>
      </w:pPr>
      <w:r>
        <w:rPr>
          <w:bCs/>
          <w:b/>
        </w:rPr>
        <w:t xml:space="preserve">Product Lifespan:</w:t>
      </w:r>
      <w:r>
        <w:t xml:space="preserve"> </w:t>
      </w:r>
      <w:r>
        <w:t xml:space="preserve">nkvflvzdfe (Assumed: 5 years)</w:t>
      </w:r>
    </w:p>
    <w:p>
      <w:pPr>
        <w:numPr>
          <w:ilvl w:val="0"/>
          <w:numId w:val="1005"/>
        </w:numPr>
        <w:pStyle w:val="Compact"/>
      </w:pPr>
      <w:r>
        <w:rPr>
          <w:bCs/>
          <w:b/>
        </w:rPr>
        <w:t xml:space="preserve">Energy Consumption in Use:</w:t>
      </w:r>
      <w:r>
        <w:t xml:space="preserve"> </w:t>
      </w:r>
      <w:r>
        <w:t xml:space="preserve">pdkxfkrond (Assumed: 10 kWh/year)</w:t>
      </w:r>
    </w:p>
    <w:p>
      <w:pPr>
        <w:pStyle w:val="FirstParagraph"/>
      </w:pPr>
      <w:r>
        <w:rPr>
          <w:iCs/>
          <w:i/>
        </w:rPr>
        <w:t xml:space="preserve">Assumption:</w:t>
      </w:r>
      <w:r>
        <w:t xml:space="preserve"> </w:t>
      </w:r>
      <w:r>
        <w:t xml:space="preserve">An illustrative average electricity grid emission factor for Europe (0.3 kg CO2e/kWh) was applied, considering the "Europe Focused" supply chain for end-user location.</w:t>
      </w:r>
    </w:p>
    <w:bookmarkEnd w:id="29"/>
    <w:bookmarkStart w:id="30" w:name="end-of-life-eol-data"/>
    <w:p>
      <w:pPr>
        <w:pStyle w:val="Heading3"/>
      </w:pPr>
      <w:r>
        <w:t xml:space="preserve">2.5 End-of-Life (EoL) Data</w:t>
      </w:r>
    </w:p>
    <w:p>
      <w:pPr>
        <w:numPr>
          <w:ilvl w:val="0"/>
          <w:numId w:val="1006"/>
        </w:numPr>
        <w:pStyle w:val="Compact"/>
      </w:pPr>
      <w:r>
        <w:rPr>
          <w:bCs/>
          <w:b/>
        </w:rPr>
        <w:t xml:space="preserve">Recyclability Percentage:</w:t>
      </w:r>
      <w:r>
        <w:t xml:space="preserve"> </w:t>
      </w:r>
      <w:r>
        <w:t xml:space="preserve">fylexuxthl (Assumed: 80%)</w:t>
      </w:r>
    </w:p>
    <w:p>
      <w:pPr>
        <w:numPr>
          <w:ilvl w:val="0"/>
          <w:numId w:val="1006"/>
        </w:numPr>
        <w:pStyle w:val="Compact"/>
      </w:pPr>
      <w:r>
        <w:rPr>
          <w:bCs/>
          <w:b/>
        </w:rPr>
        <w:t xml:space="preserve">Circular/Take-back Programs:</w:t>
      </w:r>
      <w:r>
        <w:t xml:space="preserve"> </w:t>
      </w:r>
      <w:r>
        <w:t xml:space="preserve">ekepgoltzl (Assumed: Yes, comprehensive take-back program available)</w:t>
      </w:r>
    </w:p>
    <w:p>
      <w:pPr>
        <w:pStyle w:val="FirstParagraph"/>
      </w:pPr>
      <w:r>
        <w:rPr>
          <w:iCs/>
          <w:i/>
        </w:rPr>
        <w:t xml:space="preserve">Assumption:</w:t>
      </w:r>
      <w:r>
        <w:t xml:space="preserve"> </w:t>
      </w:r>
      <w:r>
        <w:t xml:space="preserve">A credit for avoided virgin material production was applied for the recycled portion, calculated as 80% of the initial material carbon impact. Emissions for the remaining 20% disposed of (e.g., landfill/incineration) were considered negligible or integrated into the net credit.</w:t>
      </w:r>
    </w:p>
    <w:p>
      <w:pPr>
        <w:pStyle w:val="BodyText"/>
      </w:pPr>
      <w:r>
        <w:rPr>
          <w:iCs/>
          <w:i/>
        </w:rPr>
        <w:t xml:space="preserve">General Note on Emission Factors:</w:t>
      </w:r>
      <w:r>
        <w:t xml:space="preserve"> </w:t>
      </w:r>
      <w:r>
        <w:t xml:space="preserve">Where specific emission factors were not provided (beyond the BOM), industry-standard emission factors (e.g., from Ecoinvent/DEFRA databases) were used. These are illustrative values for the purpose of this report and should be replaced with specific, verified data for higher accuracy in a real-world assessment.</w:t>
      </w:r>
    </w:p>
    <w:p>
      <w:r>
        <w:pict>
          <v:rect style="width:0;height:1.5pt" o:hralign="center" o:hrstd="t" o:hr="t"/>
        </w:pict>
      </w:r>
    </w:p>
    <w:bookmarkEnd w:id="30"/>
    <w:bookmarkEnd w:id="31"/>
    <w:bookmarkStart w:id="38" w:name="emission-calculation-results"/>
    <w:p>
      <w:pPr>
        <w:pStyle w:val="Heading2"/>
      </w:pPr>
      <w:r>
        <w:t xml:space="preserve">3. Emission Calculation Results</w:t>
      </w:r>
    </w:p>
    <w:p>
      <w:pPr>
        <w:pStyle w:val="FirstParagraph"/>
      </w:pPr>
      <w:r>
        <w:t xml:space="preserve">This section presents the quantified greenhouse gas emissions for each lifecycle stage of vdooeoifzr, categorized according to the GHG Protocol scopes.</w:t>
      </w:r>
    </w:p>
    <w:bookmarkStart w:id="32" w:name="materials-scope-3-category-1---upstream"/>
    <w:p>
      <w:pPr>
        <w:pStyle w:val="Heading3"/>
      </w:pPr>
      <w:r>
        <w:t xml:space="preserve">3.1 Materials (Scope 3, Category 1 - Upstream)</w:t>
      </w:r>
    </w:p>
    <w:p>
      <w:pPr>
        <w:pStyle w:val="FirstParagraph"/>
      </w:pPr>
      <w:r>
        <w:t xml:space="preserve">The carbon footprint from the acquisition and processing of raw materials, as derived from the detailed Bill of Materials, totals</w:t>
      </w:r>
      <w:r>
        <w:t xml:space="preserve"> </w:t>
      </w:r>
      <w:r>
        <w:rPr>
          <w:bCs/>
          <w:b/>
        </w:rPr>
        <w:t xml:space="preserve">5.99 kg CO2e</w:t>
      </w:r>
      <w:r>
        <w:t xml:space="preserve"> </w:t>
      </w:r>
      <w:r>
        <w:t xml:space="preserve">per unit of vdooeoifzr.</w:t>
      </w:r>
    </w:p>
    <w:bookmarkEnd w:id="32"/>
    <w:bookmarkStart w:id="33" w:name="production-scope-1-2"/>
    <w:p>
      <w:pPr>
        <w:pStyle w:val="Heading3"/>
      </w:pPr>
      <w:r>
        <w:t xml:space="preserve">3.2 Production (Scope 1 &amp; 2)</w:t>
      </w:r>
    </w:p>
    <w:p>
      <w:pPr>
        <w:numPr>
          <w:ilvl w:val="0"/>
          <w:numId w:val="1007"/>
        </w:numPr>
        <w:pStyle w:val="Compact"/>
      </w:pPr>
      <w:r>
        <w:rPr>
          <w:bCs/>
          <w:b/>
        </w:rPr>
        <w:t xml:space="preserve">Energy Intensity:</w:t>
      </w:r>
      <w:r>
        <w:t xml:space="preserve"> </w:t>
      </w:r>
      <w:r>
        <w:t xml:space="preserve">1.5 kWh/unit</w:t>
      </w:r>
    </w:p>
    <w:p>
      <w:pPr>
        <w:numPr>
          <w:ilvl w:val="0"/>
          <w:numId w:val="1007"/>
        </w:numPr>
        <w:pStyle w:val="Compact"/>
      </w:pPr>
      <w:r>
        <w:rPr>
          <w:bCs/>
          <w:b/>
        </w:rPr>
        <w:t xml:space="preserve">Renewable Energy Usage:</w:t>
      </w:r>
      <w:r>
        <w:t xml:space="preserve"> </w:t>
      </w:r>
      <w:r>
        <w:t xml:space="preserve">75%</w:t>
      </w:r>
    </w:p>
    <w:p>
      <w:pPr>
        <w:numPr>
          <w:ilvl w:val="0"/>
          <w:numId w:val="1007"/>
        </w:numPr>
        <w:pStyle w:val="Compact"/>
      </w:pPr>
      <w:r>
        <w:rPr>
          <w:bCs/>
          <w:b/>
        </w:rPr>
        <w:t xml:space="preserve">Non-renewable Electricity Consumption:</w:t>
      </w:r>
      <w:r>
        <w:t xml:space="preserve"> </w:t>
      </w:r>
      <w:r>
        <w:t xml:space="preserve">1.5 kWh/unit * (1 - 0.75) = 0.375 kWh/unit</w:t>
      </w:r>
    </w:p>
    <w:p>
      <w:pPr>
        <w:numPr>
          <w:ilvl w:val="0"/>
          <w:numId w:val="1007"/>
        </w:numPr>
        <w:pStyle w:val="Compact"/>
      </w:pPr>
      <w:r>
        <w:rPr>
          <w:bCs/>
          <w:b/>
        </w:rPr>
        <w:t xml:space="preserve">Assumed China Grid Emission Factor:</w:t>
      </w:r>
      <w:r>
        <w:t xml:space="preserve"> </w:t>
      </w:r>
      <w:r>
        <w:t xml:space="preserve">0.6 kg CO2e/kWh</w:t>
      </w:r>
    </w:p>
    <w:p>
      <w:pPr>
        <w:numPr>
          <w:ilvl w:val="0"/>
          <w:numId w:val="1007"/>
        </w:numPr>
        <w:pStyle w:val="Compact"/>
      </w:pPr>
      <w:r>
        <w:rPr>
          <w:bCs/>
          <w:b/>
        </w:rPr>
        <w:t xml:space="preserve">Scope 2 Emissions (Electricity):</w:t>
      </w:r>
      <w:r>
        <w:t xml:space="preserve"> </w:t>
      </w:r>
      <w:r>
        <w:t xml:space="preserve">0.375 kWh/unit * 0.6 kg CO2e/kWh =</w:t>
      </w:r>
      <w:r>
        <w:t xml:space="preserve"> </w:t>
      </w:r>
      <w:r>
        <w:rPr>
          <w:bCs/>
          <w:b/>
        </w:rPr>
        <w:t xml:space="preserve">0.225 kg CO2e/unit</w:t>
      </w:r>
    </w:p>
    <w:p>
      <w:pPr>
        <w:numPr>
          <w:ilvl w:val="0"/>
          <w:numId w:val="1007"/>
        </w:numPr>
        <w:pStyle w:val="Compact"/>
      </w:pPr>
      <w:r>
        <w:rPr>
          <w:bCs/>
          <w:b/>
        </w:rPr>
        <w:t xml:space="preserve">Scope 1 Emissions (Direct factory emissions):</w:t>
      </w:r>
      <w:r>
        <w:t xml:space="preserve"> </w:t>
      </w:r>
      <w:r>
        <w:t xml:space="preserve">Assumed 0 kg CO2e/unit for this analysis, as no direct fuel combustion beyond electricity was specified.</w:t>
      </w:r>
    </w:p>
    <w:bookmarkEnd w:id="33"/>
    <w:bookmarkStart w:id="34" w:name="Xe6adba24ecc8fb47b6853636601b094bdfb3a5e"/>
    <w:p>
      <w:pPr>
        <w:pStyle w:val="Heading3"/>
      </w:pPr>
      <w:r>
        <w:t xml:space="preserve">3.3 Transport (Scope 3, Category 4 &amp; 9 - Upstream &amp; Downstream)</w:t>
      </w:r>
    </w:p>
    <w:p>
      <w:pPr>
        <w:pStyle w:val="FirstParagraph"/>
      </w:pPr>
      <w:r>
        <w:t xml:space="preserve">The transport emissions cover both inbound logistics of raw materials to the production facility (upstream) and outbound logistics of the finished product to the end-user (downstream).</w:t>
      </w:r>
    </w:p>
    <w:p>
      <w:pPr>
        <w:numPr>
          <w:ilvl w:val="0"/>
          <w:numId w:val="1008"/>
        </w:numPr>
        <w:pStyle w:val="Compact"/>
      </w:pPr>
      <w:r>
        <w:rPr>
          <w:bCs/>
          <w:b/>
        </w:rPr>
        <w:t xml:space="preserve">Product Weight (approx.):</w:t>
      </w:r>
      <w:r>
        <w:t xml:space="preserve"> </w:t>
      </w:r>
      <w:r>
        <w:t xml:space="preserve">1 kg (0.001 tonne)</w:t>
      </w:r>
    </w:p>
    <w:p>
      <w:pPr>
        <w:numPr>
          <w:ilvl w:val="0"/>
          <w:numId w:val="1008"/>
        </w:numPr>
        <w:pStyle w:val="Compact"/>
      </w:pPr>
      <w:r>
        <w:rPr>
          <w:bCs/>
          <w:b/>
        </w:rPr>
        <w:t xml:space="preserve">Assumed Total Transport Distance:</w:t>
      </w:r>
      <w:r>
        <w:t xml:space="preserve"> </w:t>
      </w:r>
      <w:r>
        <w:t xml:space="preserve">10,000 km (Ocean) + 500 km (Road)</w:t>
      </w:r>
    </w:p>
    <w:p>
      <w:pPr>
        <w:numPr>
          <w:ilvl w:val="0"/>
          <w:numId w:val="1008"/>
        </w:numPr>
        <w:pStyle w:val="Compact"/>
      </w:pPr>
      <w:r>
        <w:rPr>
          <w:bCs/>
          <w:b/>
        </w:rPr>
        <w:t xml:space="preserve">Assumed Ocean Freight EF:</w:t>
      </w:r>
      <w:r>
        <w:t xml:space="preserve"> </w:t>
      </w:r>
      <w:r>
        <w:t xml:space="preserve">0.01 kg CO2e/tonne-km</w:t>
      </w:r>
    </w:p>
    <w:p>
      <w:pPr>
        <w:numPr>
          <w:ilvl w:val="0"/>
          <w:numId w:val="1008"/>
        </w:numPr>
        <w:pStyle w:val="Compact"/>
      </w:pPr>
      <w:r>
        <w:rPr>
          <w:bCs/>
          <w:b/>
        </w:rPr>
        <w:t xml:space="preserve">Assumed Road Transport EF:</w:t>
      </w:r>
      <w:r>
        <w:t xml:space="preserve"> </w:t>
      </w:r>
      <w:r>
        <w:t xml:space="preserve">0.1 kg CO2e/tonne-km</w:t>
      </w:r>
    </w:p>
    <w:p>
      <w:pPr>
        <w:numPr>
          <w:ilvl w:val="0"/>
          <w:numId w:val="1008"/>
        </w:numPr>
        <w:pStyle w:val="Compact"/>
      </w:pPr>
      <w:r>
        <w:rPr>
          <w:bCs/>
          <w:b/>
        </w:rPr>
        <w:t xml:space="preserve">Upstream Transport Emissions (Raw materials to factory):</w:t>
      </w:r>
      <w:r>
        <w:br/>
      </w:r>
      <w:r>
        <w:t xml:space="preserve">(0.001 tonne * 10,000 km * 0.01 kg CO2e/tonne-km) + (0.001 tonne * 500 km * 0.1 kg CO2e/tonne-km) = 0.1 kg CO2e + 0.05 kg CO2e =</w:t>
      </w:r>
      <w:r>
        <w:t xml:space="preserve"> </w:t>
      </w:r>
      <w:r>
        <w:rPr>
          <w:bCs/>
          <w:b/>
        </w:rPr>
        <w:t xml:space="preserve">0.15 kg CO2e/unit</w:t>
      </w:r>
    </w:p>
    <w:p>
      <w:pPr>
        <w:numPr>
          <w:ilvl w:val="0"/>
          <w:numId w:val="1008"/>
        </w:numPr>
        <w:pStyle w:val="Compact"/>
      </w:pPr>
      <w:r>
        <w:rPr>
          <w:bCs/>
          <w:b/>
        </w:rPr>
        <w:t xml:space="preserve">Downstream Transport Emissions (Factory to customer):</w:t>
      </w:r>
      <w:r>
        <w:br/>
      </w:r>
      <w:r>
        <w:t xml:space="preserve">(0.001 tonne * 10,000 km * 0.01 kg CO2e/tonne-km) + (0.001 tonne * 500 km * 0.1 kg CO2e/tonne-km) = 0.1 kg CO2e + 0.05 kg CO2e =</w:t>
      </w:r>
      <w:r>
        <w:t xml:space="preserve"> </w:t>
      </w:r>
      <w:r>
        <w:rPr>
          <w:bCs/>
          <w:b/>
        </w:rPr>
        <w:t xml:space="preserve">0.15 kg CO2e/unit</w:t>
      </w:r>
    </w:p>
    <w:p>
      <w:pPr>
        <w:numPr>
          <w:ilvl w:val="0"/>
          <w:numId w:val="1008"/>
        </w:numPr>
        <w:pStyle w:val="Compact"/>
      </w:pPr>
      <w:r>
        <w:rPr>
          <w:bCs/>
          <w:b/>
        </w:rPr>
        <w:t xml:space="preserve">Total Transport Emissions:</w:t>
      </w:r>
      <w:r>
        <w:t xml:space="preserve"> </w:t>
      </w:r>
      <w:r>
        <w:t xml:space="preserve">0.15 kg CO2e (upstream) + 0.15 kg CO2e (downstream) =</w:t>
      </w:r>
      <w:r>
        <w:t xml:space="preserve"> </w:t>
      </w:r>
      <w:r>
        <w:rPr>
          <w:bCs/>
          <w:b/>
        </w:rPr>
        <w:t xml:space="preserve">0.30 kg CO2e/unit</w:t>
      </w:r>
    </w:p>
    <w:bookmarkEnd w:id="34"/>
    <w:bookmarkStart w:id="35" w:name="X8d77262b8e8cbe84648e76f3d970043dec1eed6"/>
    <w:p>
      <w:pPr>
        <w:pStyle w:val="Heading3"/>
      </w:pPr>
      <w:r>
        <w:t xml:space="preserve">3.4 Use Phase (Scope 3, Category 11 - Downstream)</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Annual Energy Consumption in Use:</w:t>
      </w:r>
      <w:r>
        <w:t xml:space="preserve"> </w:t>
      </w:r>
      <w:r>
        <w:t xml:space="preserve">10 kWh/year</w:t>
      </w:r>
    </w:p>
    <w:p>
      <w:pPr>
        <w:numPr>
          <w:ilvl w:val="0"/>
          <w:numId w:val="1009"/>
        </w:numPr>
        <w:pStyle w:val="Compact"/>
      </w:pPr>
      <w:r>
        <w:rPr>
          <w:bCs/>
          <w:b/>
        </w:rPr>
        <w:t xml:space="preserve">Total Energy Consumption over Lifespan:</w:t>
      </w:r>
      <w:r>
        <w:t xml:space="preserve"> </w:t>
      </w:r>
      <w:r>
        <w:t xml:space="preserve">5 years * 10 kWh/year = 50 kWh</w:t>
      </w:r>
    </w:p>
    <w:p>
      <w:pPr>
        <w:numPr>
          <w:ilvl w:val="0"/>
          <w:numId w:val="1009"/>
        </w:numPr>
        <w:pStyle w:val="Compact"/>
      </w:pPr>
      <w:r>
        <w:rPr>
          <w:bCs/>
          <w:b/>
        </w:rPr>
        <w:t xml:space="preserve">Assumed Europe Grid Emission Factor:</w:t>
      </w:r>
      <w:r>
        <w:t xml:space="preserve"> </w:t>
      </w:r>
      <w:r>
        <w:t xml:space="preserve">0.3 kg CO2e/kWh</w:t>
      </w:r>
    </w:p>
    <w:p>
      <w:pPr>
        <w:numPr>
          <w:ilvl w:val="0"/>
          <w:numId w:val="1009"/>
        </w:numPr>
        <w:pStyle w:val="Compact"/>
      </w:pPr>
      <w:r>
        <w:rPr>
          <w:bCs/>
          <w:b/>
        </w:rPr>
        <w:t xml:space="preserve">Use Phase Emissions:</w:t>
      </w:r>
      <w:r>
        <w:t xml:space="preserve"> </w:t>
      </w:r>
      <w:r>
        <w:t xml:space="preserve">50 kWh * 0.3 kg CO2e/kWh =</w:t>
      </w:r>
      <w:r>
        <w:t xml:space="preserve"> </w:t>
      </w:r>
      <w:r>
        <w:rPr>
          <w:bCs/>
          <w:b/>
        </w:rPr>
        <w:t xml:space="preserve">15.00 kg CO2e/unit</w:t>
      </w:r>
    </w:p>
    <w:bookmarkEnd w:id="35"/>
    <w:bookmarkStart w:id="36" w:name="Xc2d84e1bffeac730e6dde26c8451d435f4e283a"/>
    <w:p>
      <w:pPr>
        <w:pStyle w:val="Heading3"/>
      </w:pPr>
      <w:r>
        <w:t xml:space="preserve">3.5 End-of-Life (EoL) Phase (Scope 3, Category 12 - Downstream)</w:t>
      </w:r>
    </w:p>
    <w:p>
      <w:pPr>
        <w:pStyle w:val="FirstParagraph"/>
      </w:pPr>
      <w:r>
        <w:t xml:space="preserve">The End-of-Life scenario incorporates the recyclability of the product and the presence of circular/take-back programs.</w:t>
      </w:r>
    </w:p>
    <w:p>
      <w:pPr>
        <w:numPr>
          <w:ilvl w:val="0"/>
          <w:numId w:val="1010"/>
        </w:numPr>
        <w:pStyle w:val="Compact"/>
      </w:pPr>
      <w:r>
        <w:rPr>
          <w:bCs/>
          <w:b/>
        </w:rPr>
        <w:t xml:space="preserve">Recyclability Percentage:</w:t>
      </w:r>
      <w:r>
        <w:t xml:space="preserve"> </w:t>
      </w:r>
      <w:r>
        <w:t xml:space="preserve">80%</w:t>
      </w:r>
    </w:p>
    <w:p>
      <w:pPr>
        <w:numPr>
          <w:ilvl w:val="0"/>
          <w:numId w:val="1010"/>
        </w:numPr>
        <w:pStyle w:val="Compact"/>
      </w:pPr>
      <w:r>
        <w:rPr>
          <w:bCs/>
          <w:b/>
        </w:rPr>
        <w:t xml:space="preserve">Total Material Carbon Impact:</w:t>
      </w:r>
      <w:r>
        <w:t xml:space="preserve"> </w:t>
      </w:r>
      <w:r>
        <w:t xml:space="preserve">5.99 kg CO2e</w:t>
      </w:r>
    </w:p>
    <w:p>
      <w:pPr>
        <w:numPr>
          <w:ilvl w:val="0"/>
          <w:numId w:val="1010"/>
        </w:numPr>
        <w:pStyle w:val="Compact"/>
      </w:pPr>
      <w:r>
        <w:rPr>
          <w:bCs/>
          <w:b/>
        </w:rPr>
        <w:t xml:space="preserve">Credit from Recycling (Avoided virgin material production):</w:t>
      </w:r>
      <w:r>
        <w:t xml:space="preserve"> </w:t>
      </w:r>
      <w:r>
        <w:t xml:space="preserve">- (5.99 kg CO2e * 0.80) = -4.792 kg CO2e</w:t>
      </w:r>
    </w:p>
    <w:p>
      <w:pPr>
        <w:numPr>
          <w:ilvl w:val="0"/>
          <w:numId w:val="1010"/>
        </w:numPr>
        <w:pStyle w:val="Compact"/>
      </w:pPr>
      <w:r>
        <w:rPr>
          <w:bCs/>
          <w:b/>
        </w:rPr>
        <w:t xml:space="preserve">Emissions from Disposal (Remaining 20%):</w:t>
      </w:r>
      <w:r>
        <w:t xml:space="preserve"> </w:t>
      </w:r>
      <w:r>
        <w:t xml:space="preserve">Assumed negligible or factored into the net credit (e.g., 0.2 kg product * 0.1 kg CO2e/kg waste = 0.02 kg CO2e)</w:t>
      </w:r>
    </w:p>
    <w:p>
      <w:pPr>
        <w:numPr>
          <w:ilvl w:val="0"/>
          <w:numId w:val="1010"/>
        </w:numPr>
        <w:pStyle w:val="Compact"/>
      </w:pPr>
      <w:r>
        <w:rPr>
          <w:bCs/>
          <w:b/>
        </w:rPr>
        <w:t xml:space="preserve">Net End-of-Life Impact:</w:t>
      </w:r>
      <w:r>
        <w:t xml:space="preserve"> </w:t>
      </w:r>
      <w:r>
        <w:t xml:space="preserve">0.02 kg CO2e - 4.792 kg CO2e =</w:t>
      </w:r>
      <w:r>
        <w:t xml:space="preserve"> </w:t>
      </w:r>
      <w:r>
        <w:rPr>
          <w:bCs/>
          <w:b/>
        </w:rPr>
        <w:t xml:space="preserve">-4.772 kg CO2e/unit</w:t>
      </w:r>
      <w:r>
        <w:t xml:space="preserve"> </w:t>
      </w:r>
      <w:r>
        <w:t xml:space="preserve">(representing a net saving)</w:t>
      </w:r>
    </w:p>
    <w:bookmarkEnd w:id="36"/>
    <w:bookmarkStart w:id="37" w:name="Xda41b246f2656c3fe507260097eb54ee6e2781a"/>
    <w:p>
      <w:pPr>
        <w:pStyle w:val="Heading3"/>
      </w:pPr>
      <w:r>
        <w:t xml:space="preserve">Summary of Product Carbon Footprint by Lifecycle Stage and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Materials (Raw material acquisition &amp; processing)</w:t>
            </w:r>
          </w:p>
        </w:tc>
        <w:tc>
          <w:tcPr/>
          <w:p>
            <w:pPr>
              <w:pStyle w:val="Compact"/>
              <w:jc w:val="left"/>
            </w:pPr>
            <w:r>
              <w:t xml:space="preserve">Scope 3, Category 1</w:t>
            </w:r>
          </w:p>
        </w:tc>
        <w:tc>
          <w:tcPr/>
          <w:p>
            <w:pPr>
              <w:pStyle w:val="Compact"/>
              <w:jc w:val="left"/>
            </w:pPr>
            <w:r>
              <w:t xml:space="preserve">5.990</w:t>
            </w:r>
          </w:p>
        </w:tc>
      </w:tr>
      <w:tr>
        <w:tc>
          <w:tcPr/>
          <w:p>
            <w:pPr>
              <w:pStyle w:val="Compact"/>
              <w:jc w:val="left"/>
            </w:pPr>
            <w:r>
              <w:t xml:space="preserve">Production (Manufacturing Energy)</w:t>
            </w:r>
          </w:p>
        </w:tc>
        <w:tc>
          <w:tcPr/>
          <w:p>
            <w:pPr>
              <w:pStyle w:val="Compact"/>
              <w:jc w:val="left"/>
            </w:pPr>
            <w:r>
              <w:t xml:space="preserve">Scope 2</w:t>
            </w:r>
          </w:p>
        </w:tc>
        <w:tc>
          <w:tcPr/>
          <w:p>
            <w:pPr>
              <w:pStyle w:val="Compact"/>
              <w:jc w:val="left"/>
            </w:pPr>
            <w:r>
              <w:t xml:space="preserve">0.225</w:t>
            </w:r>
          </w:p>
        </w:tc>
      </w:tr>
      <w:tr>
        <w:tc>
          <w:tcPr/>
          <w:p>
            <w:pPr>
              <w:pStyle w:val="Compact"/>
              <w:jc w:val="left"/>
            </w:pPr>
            <w:r>
              <w:t xml:space="preserve">Upstream Transport (Raw materials to factory)</w:t>
            </w:r>
          </w:p>
        </w:tc>
        <w:tc>
          <w:tcPr/>
          <w:p>
            <w:pPr>
              <w:pStyle w:val="Compact"/>
              <w:jc w:val="left"/>
            </w:pPr>
            <w:r>
              <w:t xml:space="preserve">Scope 3, Category 4</w:t>
            </w:r>
          </w:p>
        </w:tc>
        <w:tc>
          <w:tcPr/>
          <w:p>
            <w:pPr>
              <w:pStyle w:val="Compact"/>
              <w:jc w:val="left"/>
            </w:pPr>
            <w:r>
              <w:t xml:space="preserve">0.150</w:t>
            </w:r>
          </w:p>
        </w:tc>
      </w:tr>
      <w:tr>
        <w:tc>
          <w:tcPr/>
          <w:p>
            <w:pPr>
              <w:pStyle w:val="Compact"/>
              <w:jc w:val="left"/>
            </w:pPr>
            <w:r>
              <w:t xml:space="preserve">Downstream Transport (Factory to customer)</w:t>
            </w:r>
          </w:p>
        </w:tc>
        <w:tc>
          <w:tcPr/>
          <w:p>
            <w:pPr>
              <w:pStyle w:val="Compact"/>
              <w:jc w:val="left"/>
            </w:pPr>
            <w:r>
              <w:t xml:space="preserve">Scope 3, Category 9</w:t>
            </w:r>
          </w:p>
        </w:tc>
        <w:tc>
          <w:tcPr/>
          <w:p>
            <w:pPr>
              <w:pStyle w:val="Compact"/>
              <w:jc w:val="left"/>
            </w:pPr>
            <w:r>
              <w:t xml:space="preserve">0.150</w:t>
            </w:r>
          </w:p>
        </w:tc>
      </w:tr>
      <w:tr>
        <w:tc>
          <w:tcPr/>
          <w:p>
            <w:pPr>
              <w:pStyle w:val="Compact"/>
              <w:jc w:val="left"/>
            </w:pPr>
            <w:r>
              <w:t xml:space="preserve">Use Phase (Product in operation)</w:t>
            </w:r>
          </w:p>
        </w:tc>
        <w:tc>
          <w:tcPr/>
          <w:p>
            <w:pPr>
              <w:pStyle w:val="Compact"/>
              <w:jc w:val="left"/>
            </w:pPr>
            <w:r>
              <w:t xml:space="preserve">Scope 3, Category 11</w:t>
            </w:r>
          </w:p>
        </w:tc>
        <w:tc>
          <w:tcPr/>
          <w:p>
            <w:pPr>
              <w:pStyle w:val="Compact"/>
              <w:jc w:val="left"/>
            </w:pPr>
            <w:r>
              <w:t xml:space="preserve">15.000</w:t>
            </w:r>
          </w:p>
        </w:tc>
      </w:tr>
      <w:tr>
        <w:tc>
          <w:tcPr/>
          <w:p>
            <w:pPr>
              <w:pStyle w:val="Compact"/>
              <w:jc w:val="left"/>
            </w:pPr>
            <w:r>
              <w:t xml:space="preserve">End-of-Life (Disposal, Recycling, Circularity)</w:t>
            </w:r>
          </w:p>
        </w:tc>
        <w:tc>
          <w:tcPr/>
          <w:p>
            <w:pPr>
              <w:pStyle w:val="Compact"/>
              <w:jc w:val="left"/>
            </w:pPr>
            <w:r>
              <w:t xml:space="preserve">Scope 3, Category 12</w:t>
            </w:r>
          </w:p>
        </w:tc>
        <w:tc>
          <w:tcPr/>
          <w:p>
            <w:pPr>
              <w:pStyle w:val="Compact"/>
              <w:jc w:val="left"/>
            </w:pPr>
            <w:r>
              <w:t xml:space="preserve">-4.772</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16.743 kg CO2e/unit</w:t>
            </w:r>
          </w:p>
        </w:tc>
      </w:tr>
    </w:tbl>
    <w:p>
      <w:r>
        <w:pict>
          <v:rect style="width:0;height:1.5pt" o:hralign="center" o:hrstd="t" o:hr="t"/>
        </w:pict>
      </w:r>
    </w:p>
    <w:bookmarkEnd w:id="37"/>
    <w:bookmarkEnd w:id="38"/>
    <w:bookmarkStart w:id="42" w:name="ghg-protocol-compliance"/>
    <w:p>
      <w:pPr>
        <w:pStyle w:val="Heading2"/>
      </w:pPr>
      <w:r>
        <w:t xml:space="preserve">4. GHG Protocol Compliance</w:t>
      </w:r>
    </w:p>
    <w:bookmarkStart w:id="39" w:name="scope-categorization"/>
    <w:p>
      <w:pPr>
        <w:pStyle w:val="Heading3"/>
      </w:pPr>
      <w:r>
        <w:t xml:space="preserve">4.1 Scope Categorization</w:t>
      </w:r>
    </w:p>
    <w:p>
      <w:pPr>
        <w:pStyle w:val="FirstParagraph"/>
      </w:pPr>
      <w:r>
        <w:t xml:space="preserve">The emissions are categorized as follows:</w:t>
      </w:r>
    </w:p>
    <w:p>
      <w:pPr>
        <w:numPr>
          <w:ilvl w:val="0"/>
          <w:numId w:val="1011"/>
        </w:numPr>
        <w:pStyle w:val="Compact"/>
      </w:pPr>
      <w:r>
        <w:rPr>
          <w:bCs/>
          <w:b/>
        </w:rPr>
        <w:t xml:space="preserve">Scope 1 (Direct Emissions):</w:t>
      </w:r>
      <w:r>
        <w:t xml:space="preserve"> </w:t>
      </w:r>
      <w:r>
        <w:t xml:space="preserve">0 kg CO2e/unit (assumed no direct fuel combustion at the facility beyond electricity).</w:t>
      </w:r>
    </w:p>
    <w:p>
      <w:pPr>
        <w:numPr>
          <w:ilvl w:val="0"/>
          <w:numId w:val="1011"/>
        </w:numPr>
        <w:pStyle w:val="Compact"/>
      </w:pPr>
      <w:r>
        <w:rPr>
          <w:bCs/>
          <w:b/>
        </w:rPr>
        <w:t xml:space="preserve">Scope 2 (Purchased Energy Emissions):</w:t>
      </w:r>
      <w:r>
        <w:t xml:space="preserve"> </w:t>
      </w:r>
      <w:r>
        <w:t xml:space="preserve">0.225 kg CO2e/unit (from non-renewable electricity consumption during production).</w:t>
      </w:r>
    </w:p>
    <w:p>
      <w:pPr>
        <w:numPr>
          <w:ilvl w:val="0"/>
          <w:numId w:val="1011"/>
        </w:numPr>
        <w:pStyle w:val="Compact"/>
      </w:pPr>
      <w:r>
        <w:rPr>
          <w:bCs/>
          <w:b/>
        </w:rPr>
        <w:t xml:space="preserve">Scope 3 (Value Chain Emissions):</w:t>
      </w:r>
      <w:r>
        <w:t xml:space="preserve"> </w:t>
      </w:r>
      <w:r>
        <w:t xml:space="preserve">16.518 kg CO2e/unit (comprising materials, all transport, use phase, and net end-of-life impacts).</w:t>
      </w:r>
    </w:p>
    <w:bookmarkEnd w:id="39"/>
    <w:bookmarkStart w:id="40" w:name="lsr-update"/>
    <w:p>
      <w:pPr>
        <w:pStyle w:val="Heading3"/>
      </w:pPr>
      <w:r>
        <w:t xml:space="preserve">4.2 2026 LSR Update</w:t>
      </w:r>
    </w:p>
    <w:p>
      <w:pPr>
        <w:pStyle w:val="FirstParagraph"/>
      </w:pPr>
      <w:r>
        <w:t xml:space="preserve">The Land Sector and Removals (LSR) Standard, effective January 1, 2027, has been considered in the methodology. For this product (vdooeoifzr), primarily composed of manufactured materials like metals, plastics, and electronics, direct land-use change emissions or significant biogenic carbon removals are not immediately quantifiable without highly specific data on the origin and production methods of raw materials (e.g., if specific bio-based plastics were used with land-use impacts). The robust framework provided by the LSR Standard will be crucial for future-proofing our accounting as traceability in supply chains improves and if vdooeoifzr incorporates materials with more direct land sector implications. While the LSR Guidance document is anticipated for publication in Q2 2026, the underlying principles have been acknowledged.</w:t>
      </w:r>
    </w:p>
    <w:bookmarkEnd w:id="40"/>
    <w:bookmarkStart w:id="41" w:name="scope-3-compliance"/>
    <w:p>
      <w:pPr>
        <w:pStyle w:val="Heading3"/>
      </w:pPr>
      <w:r>
        <w:t xml:space="preserve">4.3 Scope 3 Compliance</w:t>
      </w:r>
    </w:p>
    <w:p>
      <w:pPr>
        <w:pStyle w:val="FirstParagraph"/>
      </w:pPr>
      <w:r>
        <w:t xml:space="preserve">The total Scope 3 emissions amount to 16.518 kg CO2e/unit. The total PCF is 16.743 kg CO2e/unit. The Scope 3 coverage is calculated as (16.518 / 16.743) * 100% = 98.66%. This significantly exceeds the</w:t>
      </w:r>
      <w:r>
        <w:t xml:space="preserve"> </w:t>
      </w:r>
      <w:r>
        <w:rPr>
          <w:bCs/>
          <w:b/>
        </w:rPr>
        <w:t xml:space="preserve">95% coverage requirement for Scope 3 reporting</w:t>
      </w:r>
      <w:r>
        <w:t xml:space="preserve"> </w:t>
      </w:r>
      <w:r>
        <w:t xml:space="preserve">as per 2026 guidelines, demonstrating a comprehensive assessment of the value chain.</w:t>
      </w:r>
    </w:p>
    <w:p>
      <w:r>
        <w:pict>
          <v:rect style="width:0;height:1.5pt" o:hralign="center" o:hrstd="t" o:hr="t"/>
        </w:pict>
      </w:r>
    </w:p>
    <w:bookmarkEnd w:id="41"/>
    <w:bookmarkEnd w:id="42"/>
    <w:bookmarkStart w:id="45" w:name="hotspots-and-recommendations"/>
    <w:p>
      <w:pPr>
        <w:pStyle w:val="Heading2"/>
      </w:pPr>
      <w:r>
        <w:t xml:space="preserve">5. Hotspots and Recommendations</w:t>
      </w:r>
    </w:p>
    <w:bookmarkStart w:id="43" w:name="identified-hotspots"/>
    <w:p>
      <w:pPr>
        <w:pStyle w:val="Heading3"/>
      </w:pPr>
      <w:r>
        <w:t xml:space="preserve">5.1 Identified Hotspots</w:t>
      </w:r>
    </w:p>
    <w:p>
      <w:pPr>
        <w:pStyle w:val="FirstParagraph"/>
      </w:pPr>
      <w:r>
        <w:t xml:space="preserve">Based on the current analysis, the primary emission hotspots for vdooeoifzr are:</w:t>
      </w:r>
    </w:p>
    <w:p>
      <w:pPr>
        <w:numPr>
          <w:ilvl w:val="0"/>
          <w:numId w:val="1012"/>
        </w:numPr>
        <w:pStyle w:val="Compact"/>
      </w:pPr>
      <w:r>
        <w:rPr>
          <w:bCs/>
          <w:b/>
        </w:rPr>
        <w:t xml:space="preserve">Use Phase (15.00 kg CO2e):</w:t>
      </w:r>
      <w:r>
        <w:t xml:space="preserve"> </w:t>
      </w:r>
      <w:r>
        <w:t xml:space="preserve">This stage represents the largest single contributor, driven by electricity consumption over the product\'s lifespan.</w:t>
      </w:r>
    </w:p>
    <w:p>
      <w:pPr>
        <w:numPr>
          <w:ilvl w:val="0"/>
          <w:numId w:val="1012"/>
        </w:numPr>
        <w:pStyle w:val="Compact"/>
      </w:pPr>
      <w:r>
        <w:rPr>
          <w:bCs/>
          <w:b/>
        </w:rPr>
        <w:t xml:space="preserve">Materials (5.99 kg CO2e):</w:t>
      </w:r>
      <w:r>
        <w:t xml:space="preserve"> </w:t>
      </w:r>
      <w:r>
        <w:t xml:space="preserve">The embodied emissions in the raw materials, particularly aluminum and electronics (PCB), are substantial.</w:t>
      </w:r>
    </w:p>
    <w:p>
      <w:pPr>
        <w:numPr>
          <w:ilvl w:val="0"/>
          <w:numId w:val="1012"/>
        </w:numPr>
        <w:pStyle w:val="Compact"/>
      </w:pPr>
      <w:r>
        <w:rPr>
          <w:bCs/>
          <w:b/>
        </w:rPr>
        <w:t xml:space="preserve">End-of-Life (-4.772 kg CO2e):</w:t>
      </w:r>
      <w:r>
        <w:t xml:space="preserve"> </w:t>
      </w:r>
      <w:r>
        <w:t xml:space="preserve">While a net credit is achieved due to high recyclability, optimizing this stage further can enhance circularity benefits.</w:t>
      </w:r>
    </w:p>
    <w:bookmarkEnd w:id="43"/>
    <w:bookmarkStart w:id="44" w:name="recommendations-for-reduction"/>
    <w:p>
      <w:pPr>
        <w:pStyle w:val="Heading3"/>
      </w:pPr>
      <w:r>
        <w:t xml:space="preserve">5.2 Recommendations for Reduction</w:t>
      </w:r>
    </w:p>
    <w:p>
      <w:pPr>
        <w:pStyle w:val="FirstParagraph"/>
      </w:pPr>
      <w:r>
        <w:t xml:space="preserve">To significantly reduce the PCF of vdooeoifzr, the following recommendations are provided:</w:t>
      </w:r>
    </w:p>
    <w:p>
      <w:pPr>
        <w:numPr>
          <w:ilvl w:val="0"/>
          <w:numId w:val="1013"/>
        </w:numPr>
        <w:pStyle w:val="Compact"/>
      </w:pPr>
      <w:r>
        <w:rPr>
          <w:bCs/>
          <w:b/>
        </w:rPr>
        <w:t xml:space="preserve">Optimize Use Phase Efficiency:</w:t>
      </w:r>
      <w:r>
        <w:t xml:space="preserve"> </w:t>
      </w:r>
      <w:r>
        <w:t xml:space="preserve">Focus on engineering design improvements to reduce the product\'s energy consumption during its operational life. Explore low-power modes, energy-efficient components, and user education for responsible energy use.</w:t>
      </w:r>
    </w:p>
    <w:p>
      <w:pPr>
        <w:numPr>
          <w:ilvl w:val="0"/>
          <w:numId w:val="1013"/>
        </w:numPr>
        <w:pStyle w:val="Compact"/>
      </w:pPr>
      <w:r>
        <w:rPr>
          <w:bCs/>
          <w:b/>
        </w:rPr>
        <w:t xml:space="preserve">Source Low-Carbon Materials:</w:t>
      </w:r>
      <w:r>
        <w:t xml:space="preserve"> </w:t>
      </w:r>
      <w:r>
        <w:t xml:space="preserve">Investigate suppliers offering materials with lower embodied carbon, such as recycled aluminum, sustainably sourced plastics, or alternative electronic components with reduced footprints.</w:t>
      </w:r>
    </w:p>
    <w:p>
      <w:pPr>
        <w:numPr>
          <w:ilvl w:val="0"/>
          <w:numId w:val="1013"/>
        </w:numPr>
        <w:pStyle w:val="Compact"/>
      </w:pPr>
      <w:r>
        <w:rPr>
          <w:bCs/>
          <w:b/>
        </w:rPr>
        <w:t xml:space="preserve">Enhance Renewable Energy in Manufacturing:</w:t>
      </w:r>
      <w:r>
        <w:t xml:space="preserve"> </w:t>
      </w:r>
      <w:r>
        <w:t xml:space="preserve">While 75% renewable energy is commendable, aiming for 100% renewable energy at the production facility in China can further reduce Scope 2 emissions.</w:t>
      </w:r>
    </w:p>
    <w:p>
      <w:pPr>
        <w:numPr>
          <w:ilvl w:val="0"/>
          <w:numId w:val="1013"/>
        </w:numPr>
        <w:pStyle w:val="Compact"/>
      </w:pPr>
      <w:r>
        <w:rPr>
          <w:bCs/>
          <w:b/>
        </w:rPr>
        <w:t xml:space="preserve">Further Circular Economy Integration:</w:t>
      </w:r>
      <w:r>
        <w:t xml:space="preserve"> </w:t>
      </w:r>
      <w:r>
        <w:t xml:space="preserve">Explore opportunities to increase recyclability beyond 80%, facilitate easier disassembly for component reuse, and expand take-back programs to close material loops more effectively.</w:t>
      </w:r>
    </w:p>
    <w:p>
      <w:pPr>
        <w:numPr>
          <w:ilvl w:val="0"/>
          <w:numId w:val="1013"/>
        </w:numPr>
        <w:pStyle w:val="Compact"/>
      </w:pPr>
      <w:r>
        <w:rPr>
          <w:bCs/>
          <w:b/>
        </w:rPr>
        <w:t xml:space="preserve">Supply Chain Optimization:</w:t>
      </w:r>
      <w:r>
        <w:t xml:space="preserve"> </w:t>
      </w:r>
      <w:r>
        <w:t xml:space="preserve">While transport is a smaller contributor, optimizing logistics routes, utilizing more efficient transport modes (e.g., rail over road where feasible for shorter distances within Europe), and consolidating shipments can yield further reductions.</w:t>
      </w:r>
    </w:p>
    <w:p>
      <w:r>
        <w:pict>
          <v:rect style="width:0;height:1.5pt" o:hralign="center" o:hrstd="t" o:hr="t"/>
        </w:pict>
      </w:r>
    </w:p>
    <w:bookmarkEnd w:id="44"/>
    <w:bookmarkEnd w:id="45"/>
    <w:bookmarkStart w:id="46" w:name="limitations-and-assumptions"/>
    <w:p>
      <w:pPr>
        <w:pStyle w:val="Heading2"/>
      </w:pPr>
      <w:r>
        <w:t xml:space="preserve">6. Limitations and Assumptions</w:t>
      </w:r>
    </w:p>
    <w:p>
      <w:pPr>
        <w:pStyle w:val="FirstParagraph"/>
      </w:pPr>
      <w:r>
        <w:t xml:space="preserve">This report is based on the provided parameters and a set of reasonable assumptions where specific data was absent. Key limitations and assumptions include:</w:t>
      </w:r>
    </w:p>
    <w:p>
      <w:pPr>
        <w:numPr>
          <w:ilvl w:val="0"/>
          <w:numId w:val="1014"/>
        </w:numPr>
        <w:pStyle w:val="Compact"/>
      </w:pPr>
      <w:r>
        <w:rPr>
          <w:bCs/>
          <w:b/>
        </w:rPr>
        <w:t xml:space="preserve">Illustrative Emission Factors:</w:t>
      </w:r>
      <w:r>
        <w:t xml:space="preserve"> </w:t>
      </w:r>
      <w:r>
        <w:t xml:space="preserve">Generic, industry-average emission factors were used for electricity grids, transport, and EoL processes in the absence of supplier-specific data. Actual values may vary.</w:t>
      </w:r>
    </w:p>
    <w:p>
      <w:pPr>
        <w:numPr>
          <w:ilvl w:val="0"/>
          <w:numId w:val="1014"/>
        </w:numPr>
        <w:pStyle w:val="Compact"/>
      </w:pPr>
      <w:r>
        <w:rPr>
          <w:bCs/>
          <w:b/>
        </w:rPr>
        <w:t xml:space="preserve">Product Weight for Transport:</w:t>
      </w:r>
      <w:r>
        <w:t xml:space="preserve"> </w:t>
      </w:r>
      <w:r>
        <w:t xml:space="preserve">An approximate total product weight of 1 kg was used for transport calculations. Precise transport impacts would require individual weights of raw materials and finished product, along with specific packaging data.</w:t>
      </w:r>
    </w:p>
    <w:p>
      <w:pPr>
        <w:numPr>
          <w:ilvl w:val="0"/>
          <w:numId w:val="1014"/>
        </w:numPr>
        <w:pStyle w:val="Compact"/>
      </w:pPr>
      <w:r>
        <w:rPr>
          <w:bCs/>
          <w:b/>
        </w:rPr>
        <w:t xml:space="preserve">System Boundary Interpretation:</w:t>
      </w:r>
      <w:r>
        <w:t xml:space="preserve"> </w:t>
      </w:r>
      <w:r>
        <w:t xml:space="preserve">While "factory_gate" was specified, the detailed parameters for downstream stages (transport, use, EoL) necessitated a cradle-to-grave analysis to fulfill the report\'s requirements. This interpretation has been explicitly stated.</w:t>
      </w:r>
    </w:p>
    <w:p>
      <w:pPr>
        <w:numPr>
          <w:ilvl w:val="0"/>
          <w:numId w:val="1014"/>
        </w:numPr>
        <w:pStyle w:val="Compact"/>
      </w:pPr>
      <w:r>
        <w:rPr>
          <w:bCs/>
          <w:b/>
        </w:rPr>
        <w:t xml:space="preserve">LSR Standard Application:</w:t>
      </w:r>
      <w:r>
        <w:t xml:space="preserve"> </w:t>
      </w:r>
      <w:r>
        <w:t xml:space="preserve">Direct quantification of land-use change or biogenic carbon removals was not possible due to the nature of the product\'s materials and lack of specific traceability data. The LSR Standard\'s principles were acknowledged for future consideration.</w:t>
      </w:r>
    </w:p>
    <w:p>
      <w:pPr>
        <w:numPr>
          <w:ilvl w:val="0"/>
          <w:numId w:val="1014"/>
        </w:numPr>
        <w:pStyle w:val="Compact"/>
      </w:pPr>
      <w:r>
        <w:rPr>
          <w:bCs/>
          <w:b/>
        </w:rPr>
        <w:t xml:space="preserve">Scope 1 Emissions:</w:t>
      </w:r>
      <w:r>
        <w:t xml:space="preserve"> </w:t>
      </w:r>
      <w:r>
        <w:t xml:space="preserve">Assumed zero for direct fuel combustion, requiring verification if the manufacturing facility has significant on-site fuel use.</w:t>
      </w:r>
    </w:p>
    <w:p>
      <w:r>
        <w:pict>
          <v:rect style="width:0;height:1.5pt" o:hralign="center" o:hrstd="t" o:hr="t"/>
        </w:pict>
      </w:r>
    </w:p>
    <w:bookmarkEnd w:id="46"/>
    <w:bookmarkStart w:id="47" w:name="conclusion"/>
    <w:p>
      <w:pPr>
        <w:pStyle w:val="Heading2"/>
      </w:pPr>
      <w:r>
        <w:t xml:space="preserve">Conclusion</w:t>
      </w:r>
    </w:p>
    <w:p>
      <w:pPr>
        <w:pStyle w:val="FirstParagraph"/>
      </w:pPr>
      <w:r>
        <w:t xml:space="preserve">The Product Carbon Footprint analysis for vdooeoifzr, performed by yjoxuxxelh for qzxkssrzjw, reveals a total cradle-to-grave PCF of</w:t>
      </w:r>
      <w:r>
        <w:t xml:space="preserve"> </w:t>
      </w:r>
      <w:r>
        <w:rPr>
          <w:bCs/>
          <w:b/>
        </w:rPr>
        <w:t xml:space="preserve">16.743 kg CO2e per unit</w:t>
      </w:r>
      <w:r>
        <w:t xml:space="preserve">. The most significant contributions stem from the product\'s use phase and the embodied emissions in its materials. By focusing on energy efficiency, material sourcing, and continued circular economy initiatives, qzxkssrzjw has clear pathways to significantly reduce the environmental impact of vdooeoifzr and demonstrate leadership in sustainability, aligning with the stringent requirements of the GHG Protocol.</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vdooeoifzr</dc:title>
  <dc:creator/>
  <dc:description>High-detail Product Carbon Footprint (PCF) analysis report for vdooeoifzr by yjoxuxxelh, Senior Sustainability Consultant at qzxkssrzjw, adhering to GHG Protocol and 2026 LSR update.</dc:description>
  <dc:language>en</dc:language>
  <cp:keywords/>
  <dcterms:created xsi:type="dcterms:W3CDTF">2026-05-31T00:44:07Z</dcterms:created>
  <dcterms:modified xsi:type="dcterms:W3CDTF">2026-05-31T00:44:07Z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