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vdmekgevqw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vdmekgevqw</w:t>
      </w:r>
    </w:p>
    <w:p>
      <w:pPr>
        <w:pStyle w:val="BodyText"/>
      </w:pPr>
      <w:r>
        <w:rPr>
          <w:bCs/>
          <w:b/>
        </w:rPr>
        <w:t xml:space="preserve">Company Name:</w:t>
      </w:r>
      <w:r>
        <w:t xml:space="preserve"> </w:t>
      </w:r>
      <w:r>
        <w:t xml:space="preserve">qkeloidgzm</w:t>
      </w:r>
    </w:p>
    <w:p>
      <w:pPr>
        <w:pStyle w:val="BodyText"/>
      </w:pPr>
      <w:r>
        <w:rPr>
          <w:bCs/>
          <w:b/>
        </w:rPr>
        <w:t xml:space="preserve">Senior Sustainability Consultant:</w:t>
      </w:r>
      <w:r>
        <w:t xml:space="preserve"> </w:t>
      </w:r>
      <w:r>
        <w:t xml:space="preserve">ruqhqhgvzl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evolving data.</w:t>
      </w:r>
    </w:p>
    <w:bookmarkEnd w:id="20"/>
    <w:p>
      <w:r>
        <w:pict>
          <v:rect style="width:0;height:1.5pt" o:hralign="center" o:hrstd="t" o:hr="t"/>
        </w:pict>
      </w:r>
    </w:p>
    <w:bookmarkStart w:id="21" w:name="X72907c4a18291bb16085d05a6c4502fb03bcada"/>
    <w:p>
      <w:pPr>
        <w:pStyle w:val="Heading1"/>
      </w:pPr>
      <w:r>
        <w:t xml:space="preserve">Product Carbon Footprint Analysis: vdmekgevqw</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vdmekgevqw</w:t>
      </w:r>
      <w:r>
        <w:t xml:space="preserve">, manufactured by</w:t>
      </w:r>
      <w:r>
        <w:t xml:space="preserve"> </w:t>
      </w:r>
      <w:r>
        <w:rPr>
          <w:bCs/>
          <w:b/>
        </w:rPr>
        <w:t xml:space="preserve">qkeloidgzm</w:t>
      </w:r>
      <w:r>
        <w:t xml:space="preserve">. The analysis was conducted by</w:t>
      </w:r>
      <w:r>
        <w:t xml:space="preserve"> </w:t>
      </w:r>
      <w:r>
        <w:rPr>
          <w:bCs/>
          <w:b/>
        </w:rPr>
        <w:t xml:space="preserve">ruqhqhgvzl</w:t>
      </w:r>
      <w:r>
        <w:t xml:space="preserve">, a Senior Sustainability Consultant specializing in GHG Protocol. The methodology adheres strictly to the GHG Protocol, including the 2026 Land Sector and Removals (LSR) Standard and ensuring at least 95% coverage for Scope 3 emissions. The goal is to quantify the greenhouse gas emissions associated with the product\'s lifecycle, identify hotspots, and provide a basis for informed sustainability strategies.</w:t>
      </w:r>
    </w:p>
    <w:p>
      <w:pPr>
        <w:pStyle w:val="BodyText"/>
      </w:pPr>
      <w:r>
        <w:t xml:space="preserve">The system boundary for this assessment is \'factory_gate\', meaning the analysis covers all emissions up to the point the finished product leaves the manufacturing facility. However, recognizing the importance of a comprehensive view, estimated emissions for the use phase and end-of-life have also been included for illustrative purposes, extending the boundary conceptually to \'cradle-to-grave\' for a more complete picture of the product\'s environmental impact. The geographic scope focuses on the final production country being China, with a supply chain focus on Europe.</w:t>
      </w:r>
    </w:p>
    <w:p>
      <w:pPr>
        <w:pStyle w:val="BodyText"/>
      </w:pPr>
      <w:r>
        <w:rPr>
          <w:bCs/>
          <w:b/>
        </w:rPr>
        <w:t xml:space="preserve">Key Findings (Illustrative based on assumed data):</w:t>
      </w:r>
    </w:p>
    <w:p>
      <w:pPr>
        <w:numPr>
          <w:ilvl w:val="0"/>
          <w:numId w:val="1001"/>
        </w:numPr>
        <w:pStyle w:val="Compact"/>
      </w:pPr>
      <w:r>
        <w:t xml:space="preserve">Material acquisition and processing (Scope 3 Upstream) represent a significant portion of the PCF due to the energy-intensive nature of raw material production.</w:t>
      </w:r>
    </w:p>
    <w:p>
      <w:pPr>
        <w:numPr>
          <w:ilvl w:val="0"/>
          <w:numId w:val="1001"/>
        </w:numPr>
        <w:pStyle w:val="Compact"/>
      </w:pPr>
      <w:r>
        <w:t xml:space="preserve">Manufacturing energy consumption (Scope 1 &amp; 2) contributes to the footprint, mitigated by assumed renewable energy usage.</w:t>
      </w:r>
    </w:p>
    <w:p>
      <w:pPr>
        <w:numPr>
          <w:ilvl w:val="0"/>
          <w:numId w:val="1001"/>
        </w:numPr>
        <w:pStyle w:val="Compact"/>
      </w:pPr>
      <w:r>
        <w:t xml:space="preserve">Transportation (Scope 3 Upstream &amp; Downstream) plays a role, with long-distance freight impacting overall emissions.</w:t>
      </w:r>
    </w:p>
    <w:p>
      <w:pPr>
        <w:numPr>
          <w:ilvl w:val="0"/>
          <w:numId w:val="1001"/>
        </w:numPr>
        <w:pStyle w:val="Compact"/>
      </w:pPr>
      <w:r>
        <w:t xml:space="preserve">The use phase and end-of-life scenarios, though outside the primary factory_gate boundary, show potential for significant emissions or savings through circularity.</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vdmekgevqw</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primary system boundary for this assessment is defined as</w:t>
      </w:r>
      <w:r>
        <w:t xml:space="preserve"> </w:t>
      </w:r>
      <w:r>
        <w:rPr>
          <w:bCs/>
          <w:b/>
        </w:rPr>
        <w:t xml:space="preserve">factory_gate</w:t>
      </w:r>
      <w:r>
        <w:t xml:space="preserve">. This encompasses all emissions from raw material extraction, processing, transportation to the manufacturing facility, and the production processes within the facility, up to the point the finished product leaves the factory gate. However, for a more holistic understanding, illustrative calculations for the use phase and end-of-life have been conceptually included to demonstrate a cradle-to-grave perspective.</w:t>
      </w:r>
    </w:p>
    <w:p>
      <w:pPr>
        <w:numPr>
          <w:ilvl w:val="0"/>
          <w:numId w:val="1002"/>
        </w:numPr>
        <w:pStyle w:val="Compact"/>
      </w:pPr>
      <w:r>
        <w:rPr>
          <w:bCs/>
          <w:b/>
        </w:rPr>
        <w:t xml:space="preserve">Included Stages (within factory_gate):</w:t>
      </w:r>
    </w:p>
    <w:p>
      <w:pPr>
        <w:numPr>
          <w:ilvl w:val="1"/>
          <w:numId w:val="1003"/>
        </w:numPr>
        <w:pStyle w:val="Compact"/>
      </w:pPr>
      <w:r>
        <w:t xml:space="preserve">Raw Material Acquisition and Pre-processing</w:t>
      </w:r>
    </w:p>
    <w:p>
      <w:pPr>
        <w:numPr>
          <w:ilvl w:val="1"/>
          <w:numId w:val="1003"/>
        </w:numPr>
        <w:pStyle w:val="Compact"/>
      </w:pPr>
      <w:r>
        <w:t xml:space="preserve">Transportation of materials to manufacturing site</w:t>
      </w:r>
    </w:p>
    <w:p>
      <w:pPr>
        <w:numPr>
          <w:ilvl w:val="1"/>
          <w:numId w:val="1003"/>
        </w:numPr>
        <w:pStyle w:val="Compact"/>
      </w:pPr>
      <w:r>
        <w:t xml:space="preserve">Manufacturing processes (energy consumption, waste generation)</w:t>
      </w:r>
    </w:p>
    <w:p>
      <w:pPr>
        <w:numPr>
          <w:ilvl w:val="0"/>
          <w:numId w:val="1002"/>
        </w:numPr>
        <w:pStyle w:val="Compact"/>
      </w:pPr>
      <w:r>
        <w:rPr>
          <w:bCs/>
          <w:b/>
        </w:rPr>
        <w:t xml:space="preserve">Illustratively Included Stages (beyond factory_gate):</w:t>
      </w:r>
    </w:p>
    <w:p>
      <w:pPr>
        <w:numPr>
          <w:ilvl w:val="1"/>
          <w:numId w:val="1004"/>
        </w:numPr>
        <w:pStyle w:val="Compact"/>
      </w:pPr>
      <w:r>
        <w:t xml:space="preserve">Distribution (transport to customer, last-mile delivery)</w:t>
      </w:r>
    </w:p>
    <w:p>
      <w:pPr>
        <w:numPr>
          <w:ilvl w:val="1"/>
          <w:numId w:val="1004"/>
        </w:numPr>
        <w:pStyle w:val="Compact"/>
      </w:pPr>
      <w:r>
        <w:t xml:space="preserve">Product Use Phase (energy consumption during lifespan)</w:t>
      </w:r>
    </w:p>
    <w:p>
      <w:pPr>
        <w:numPr>
          <w:ilvl w:val="1"/>
          <w:numId w:val="1004"/>
        </w:numPr>
        <w:pStyle w:val="Compact"/>
      </w:pPr>
      <w:r>
        <w:t xml:space="preserve">End-of-Life (disposal, recycling, circularity impacts)</w:t>
      </w:r>
    </w:p>
    <w:bookmarkEnd w:id="24"/>
    <w:bookmarkStart w:id="25" w:name="geographic-scope"/>
    <w:p>
      <w:pPr>
        <w:pStyle w:val="Heading3"/>
      </w:pPr>
      <w:r>
        <w:t xml:space="preserve">1.3 Geographic Scope</w:t>
      </w:r>
    </w:p>
    <w:p>
      <w:pPr>
        <w:pStyle w:val="FirstParagraph"/>
      </w:pPr>
      <w:r>
        <w:t xml:space="preserve">The geographic scope of this PCF analysis is defined as follows:</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(implying significant material sourcing and/or component manufacturing from European suppliers)</w:t>
      </w:r>
    </w:p>
    <w:bookmarkEnd w:id="25"/>
    <w:bookmarkStart w:id="26" w:name="allocation"/>
    <w:p>
      <w:pPr>
        <w:pStyle w:val="Heading3"/>
      </w:pPr>
      <w:r>
        <w:t xml:space="preserve">1.4 Allocation</w:t>
      </w:r>
    </w:p>
    <w:p>
      <w:pPr>
        <w:pStyle w:val="FirstParagraph"/>
      </w:pPr>
      <w:r>
        <w:t xml:space="preserve">Allocation of environmental burdens for co-products, by-products, and recycling is performed according to GHG Protocol guidelines, primarily using mass-based or economic allocation where appropriate. For recycled content, a "closed-loop" approach is used, where the burden of virgin material production is avoided, and the burden of recycling processes is allocated.</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Emissions are categorized into Scope 1 (direct emissions), Scope 2 (purchased energy emissions), and Scope 3 (all other indirect emissions across the value chain).</w:t>
      </w:r>
    </w:p>
    <w:p>
      <w:pPr>
        <w:pStyle w:val="BodyText"/>
      </w:pPr>
      <w:r>
        <w:t xml:space="preserve">The analysis also incorporates the</w:t>
      </w:r>
      <w:r>
        <w:t xml:space="preserve"> </w:t>
      </w:r>
      <w:r>
        <w:rPr>
          <w:bCs/>
          <w:b/>
        </w:rPr>
        <w:t xml:space="preserve">2026 Land Sector and Removals (LSR) Standard</w:t>
      </w:r>
      <w:r>
        <w:t xml:space="preserve"> </w:t>
      </w:r>
      <w:r>
        <w:t xml:space="preserve">for accounting for land use change emissions and carbon removals. Furthermore, compliance with</w:t>
      </w:r>
      <w:r>
        <w:t xml:space="preserve"> </w:t>
      </w:r>
      <w:r>
        <w:rPr>
          <w:bCs/>
          <w:b/>
        </w:rPr>
        <w:t xml:space="preserve">2026 requirements for Scope 3 reporting</w:t>
      </w:r>
      <w:r>
        <w:t xml:space="preserve"> </w:t>
      </w:r>
      <w:r>
        <w:t xml:space="preserve">ensures at least 95% coverage of all relevant indirect emissions.</w:t>
      </w:r>
    </w:p>
    <w:bookmarkEnd w:id="27"/>
    <w:bookmarkEnd w:id="28"/>
    <w:p>
      <w:r>
        <w:pict>
          <v:rect style="width:0;height:1.5pt" o:hralign="center" o:hrstd="t" o:hr="t"/>
        </w:pict>
      </w:r>
    </w:p>
    <w:bookmarkStart w:id="36"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mapping of the product\'s lifecycle stages for vdmekgevqw. Due to the placeholder nature of the provided parameters (e.g., qelmsyiu, fhsrhtgtuj), illustrative data consistent with the specified formats has been generated and used for the calculations in this report. In a real-world scenario, precise primary data would be collected.</w:t>
      </w:r>
    </w:p>
    <w:bookmarkStart w:id="29" w:name="X1d19adb57b7e88a136e9ab7de0a69c7bb883e18"/>
    <w:p>
      <w:pPr>
        <w:pStyle w:val="Heading3"/>
      </w:pPr>
      <w:r>
        <w:t xml:space="preserve">2.1 Raw Materials and Components (Detailed Bill of Materials - BOM)</w:t>
      </w:r>
    </w:p>
    <w:p>
      <w:pPr>
        <w:pStyle w:val="FirstParagraph"/>
      </w:pPr>
      <w:r>
        <w:t xml:space="preserve">The following table presents the detailed Bill of Materials (BOM) for vdmekgevqw, which is crucial for high-accuracy material impact calculation. The Emission Factor (EF) and Total Carbon for each item are directly taken from the provided BOM format. This represents upstream Scope 3 emissions.</w:t>
      </w:r>
    </w:p>
    <w:p>
      <w:pPr>
        <w:pStyle w:val="BodyText"/>
      </w:pPr>
      <w:r>
        <w:rPr>
          <w:bCs/>
          <w:b/>
        </w:rPr>
        <w:t xml:space="preserve">Illustrative Detailed Bill of Materials (BOM) for vdmekgevqw: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7.0</w:t>
            </w:r>
          </w:p>
        </w:tc>
        <w:tc>
          <w:tcPr/>
          <w:p>
            <w:pPr>
              <w:pStyle w:val="Compact"/>
              <w:jc w:val="left"/>
            </w:pPr>
            <w:r>
              <w:t xml:space="preserve">5.25</w:t>
            </w:r>
          </w:p>
        </w:tc>
      </w:tr>
      <w:tr>
        <w:tc>
          <w:tcPr/>
          <w:p>
            <w:pPr>
              <w:pStyle w:val="Compact"/>
              <w:jc w:val="left"/>
            </w:pPr>
            <w:r>
              <w:t xml:space="preserve">MAT002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MAT007</w:t>
            </w:r>
          </w:p>
        </w:tc>
        <w:tc>
          <w:tcPr/>
          <w:p>
            <w:pPr>
              <w:pStyle w:val="Compact"/>
              <w:jc w:val="left"/>
            </w:pPr>
            <w:r>
              <w:t xml:space="preserve">Fasteners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0.08</w:t>
            </w:r>
          </w:p>
        </w:tc>
      </w:tr>
    </w:tbl>
    <w:p>
      <w:pPr>
        <w:pStyle w:val="BodyText"/>
      </w:pPr>
      <w:r>
        <w:t xml:space="preserve">Total raw material emissions (Scope 3 Upstream) from BOM:</w:t>
      </w:r>
      <w:r>
        <w:t xml:space="preserve"> </w:t>
      </w:r>
      <w:r>
        <w:rPr>
          <w:bCs/>
          <w:b/>
        </w:rPr>
        <w:t xml:space="preserve">10.43 kg CO2e</w:t>
      </w:r>
    </w:p>
    <w:bookmarkEnd w:id="29"/>
    <w:bookmarkStart w:id="30" w:name="manufacturing-phase-inputs-production"/>
    <w:p>
      <w:pPr>
        <w:pStyle w:val="Heading3"/>
      </w:pPr>
      <w:r>
        <w:t xml:space="preserve">2.2 Manufacturing Phase Inputs (Production)</w:t>
      </w:r>
    </w:p>
    <w:p>
      <w:pPr>
        <w:pStyle w:val="FirstParagraph"/>
      </w:pPr>
      <w:r>
        <w:t xml:space="preserve">The production phase occurs in China. Energy consumption and mix are critical data points.</w:t>
      </w:r>
    </w:p>
    <w:p>
      <w:pPr>
        <w:numPr>
          <w:ilvl w:val="0"/>
          <w:numId w:val="1006"/>
        </w:numPr>
        <w:pStyle w:val="Compact"/>
      </w:pPr>
      <w:r>
        <w:rPr>
          <w:bCs/>
          <w:b/>
        </w:rPr>
        <w:t xml:space="preserve">Energy Intensity (kWh/unit):</w:t>
      </w:r>
      <w:r>
        <w:t xml:space="preserve"> </w:t>
      </w:r>
      <w:r>
        <w:t xml:space="preserve">10 kWh/unit (Illustrative based on \'rimxsuvpyv\')</w:t>
      </w:r>
    </w:p>
    <w:p>
      <w:pPr>
        <w:numPr>
          <w:ilvl w:val="0"/>
          <w:numId w:val="1006"/>
        </w:numPr>
        <w:pStyle w:val="Compact"/>
      </w:pPr>
      <w:r>
        <w:rPr>
          <w:bCs/>
          <w:b/>
        </w:rPr>
        <w:t xml:space="preserve">Renewable Energy Usage:</w:t>
      </w:r>
      <w:r>
        <w:t xml:space="preserve"> </w:t>
      </w:r>
      <w:r>
        <w:t xml:space="preserve">75% (Illustrative based on \'pqonyxksmk\')</w:t>
      </w:r>
    </w:p>
    <w:p>
      <w:pPr>
        <w:numPr>
          <w:ilvl w:val="0"/>
          <w:numId w:val="1006"/>
        </w:numPr>
        <w:pStyle w:val="Compact"/>
      </w:pPr>
      <w:r>
        <w:rPr>
          <w:bCs/>
          <w:b/>
        </w:rPr>
        <w:t xml:space="preserve">Non-Renewable Energy Mix (Illustrative, China Grid Average):</w:t>
      </w:r>
    </w:p>
    <w:p>
      <w:pPr>
        <w:numPr>
          <w:ilvl w:val="1"/>
          <w:numId w:val="1007"/>
        </w:numPr>
        <w:pStyle w:val="Compact"/>
      </w:pPr>
      <w:r>
        <w:t xml:space="preserve">Coal: 60%</w:t>
      </w:r>
    </w:p>
    <w:p>
      <w:pPr>
        <w:numPr>
          <w:ilvl w:val="1"/>
          <w:numId w:val="1007"/>
        </w:numPr>
        <w:pStyle w:val="Compact"/>
      </w:pPr>
      <w:r>
        <w:t xml:space="preserve">Natural Gas: 15%</w:t>
      </w:r>
    </w:p>
    <w:p>
      <w:pPr>
        <w:numPr>
          <w:ilvl w:val="1"/>
          <w:numId w:val="1007"/>
        </w:numPr>
        <w:pStyle w:val="Compact"/>
      </w:pPr>
      <w:r>
        <w:t xml:space="preserve">Hydro: 10%</w:t>
      </w:r>
    </w:p>
    <w:p>
      <w:pPr>
        <w:numPr>
          <w:ilvl w:val="1"/>
          <w:numId w:val="1007"/>
        </w:numPr>
        <w:pStyle w:val="Compact"/>
      </w:pPr>
      <w:r>
        <w:t xml:space="preserve">Nuclear: 5%</w:t>
      </w:r>
    </w:p>
    <w:p>
      <w:pPr>
        <w:numPr>
          <w:ilvl w:val="1"/>
          <w:numId w:val="1007"/>
        </w:numPr>
        <w:pStyle w:val="Compact"/>
      </w:pPr>
      <w:r>
        <w:t xml:space="preserve">Other (e.g., Oil, Biomass): 10%</w:t>
      </w:r>
    </w:p>
    <w:p>
      <w:pPr>
        <w:numPr>
          <w:ilvl w:val="0"/>
          <w:numId w:val="1006"/>
        </w:numPr>
        <w:pStyle w:val="Compact"/>
      </w:pPr>
      <w:r>
        <w:rPr>
          <w:bCs/>
          <w:b/>
        </w:rPr>
        <w:t xml:space="preserve">Emission Factor for Non-Renewable Grid Electricity (Illustrative, China average):</w:t>
      </w:r>
      <w:r>
        <w:t xml:space="preserve"> </w:t>
      </w:r>
      <w:r>
        <w:t xml:space="preserve">0.7 kg CO2e/kWh (Derived from typical grid mixes, e.g., IEA data)</w:t>
      </w:r>
    </w:p>
    <w:p>
      <w:pPr>
        <w:pStyle w:val="FirstParagraph"/>
      </w:pPr>
      <w:r>
        <w:rPr>
          <w:bCs/>
          <w:b/>
        </w:rPr>
        <w:t xml:space="preserve">Calculation for Manufacturing Energy:</w:t>
      </w:r>
    </w:p>
    <w:p>
      <w:pPr>
        <w:numPr>
          <w:ilvl w:val="0"/>
          <w:numId w:val="1008"/>
        </w:numPr>
        <w:pStyle w:val="Compact"/>
      </w:pPr>
      <w:r>
        <w:t xml:space="preserve">Total energy demand: 10 kWh/unit</w:t>
      </w:r>
    </w:p>
    <w:p>
      <w:pPr>
        <w:numPr>
          <w:ilvl w:val="0"/>
          <w:numId w:val="1008"/>
        </w:numPr>
        <w:pStyle w:val="Compact"/>
      </w:pPr>
      <w:r>
        <w:t xml:space="preserve">Renewable energy: 10 kWh * 75% = 7.5 kWh (0 kg CO2e emissions)</w:t>
      </w:r>
    </w:p>
    <w:p>
      <w:pPr>
        <w:numPr>
          <w:ilvl w:val="0"/>
          <w:numId w:val="1008"/>
        </w:numPr>
        <w:pStyle w:val="Compact"/>
      </w:pPr>
      <w:r>
        <w:t xml:space="preserve">Non-renewable energy: 10 kWh * 25% = 2.5 kWh</w:t>
      </w:r>
    </w:p>
    <w:p>
      <w:pPr>
        <w:numPr>
          <w:ilvl w:val="0"/>
          <w:numId w:val="1008"/>
        </w:numPr>
        <w:pStyle w:val="Compact"/>
      </w:pPr>
      <w:r>
        <w:t xml:space="preserve">Emissions from non-renewable energy: 2.5 kWh * 0.7 kg CO2e/kWh = 1.75 kg CO2e</w:t>
      </w:r>
    </w:p>
    <w:p>
      <w:pPr>
        <w:pStyle w:val="FirstParagraph"/>
      </w:pPr>
      <w:r>
        <w:t xml:space="preserve">Total manufacturing energy emissions (Scope 2):</w:t>
      </w:r>
      <w:r>
        <w:t xml:space="preserve"> </w:t>
      </w:r>
      <w:r>
        <w:rPr>
          <w:bCs/>
          <w:b/>
        </w:rPr>
        <w:t xml:space="preserve">1.75 kg CO2e</w:t>
      </w:r>
    </w:p>
    <w:p>
      <w:pPr>
        <w:pStyle w:val="BodyText"/>
      </w:pPr>
      <w:r>
        <w:t xml:space="preserve">Direct emissions (Scope 1) from manufacturing, such as refrigerant leaks or on-site fuel combustion for processes, are assumed to be negligible or covered within the energy intensity if the energy is self-generated. For this report, we assume no significant Scope 1 emissions at the factory gate for this product\'s manufacturing process, focusing on purchased energy.</w:t>
      </w:r>
    </w:p>
    <w:bookmarkEnd w:id="30"/>
    <w:bookmarkStart w:id="33" w:name="transportation"/>
    <w:p>
      <w:pPr>
        <w:pStyle w:val="Heading3"/>
      </w:pPr>
      <w:r>
        <w:t xml:space="preserve">2.3 Transportation</w:t>
      </w:r>
    </w:p>
    <w:p>
      <w:pPr>
        <w:pStyle w:val="FirstParagraph"/>
      </w:pPr>
      <w:r>
        <w:t xml:space="preserve">Logistics data is incorporated for both upstream (to factory) and downstream (from factory) movements.</w:t>
      </w:r>
    </w:p>
    <w:bookmarkStart w:id="31" w:name="X009f296c0c20cd8adb4e905876b543447ca9aa5"/>
    <w:p>
      <w:pPr>
        <w:pStyle w:val="Heading4"/>
      </w:pPr>
      <w:r>
        <w:t xml:space="preserve">2.3.1 Upstream Transportation (Scope 3 - Tiers of suppliers)</w:t>
      </w:r>
    </w:p>
    <w:p>
      <w:pPr>
        <w:pStyle w:val="FirstParagraph"/>
      </w:pPr>
      <w:r>
        <w:t xml:space="preserve">Assuming a Europe-focused supply chain, materials and components are transported to the final production country (China).</w:t>
      </w:r>
    </w:p>
    <w:p>
      <w:pPr>
        <w:numPr>
          <w:ilvl w:val="0"/>
          <w:numId w:val="1009"/>
        </w:numPr>
        <w:pStyle w:val="Compact"/>
      </w:pPr>
      <w:r>
        <w:rPr>
          <w:bCs/>
          <w:b/>
        </w:rPr>
        <w:t xml:space="preserve">Illustrative Transport Mode (from \'Select Mode\'):</w:t>
      </w:r>
      <w:r>
        <w:t xml:space="preserve"> </w:t>
      </w:r>
      <w:r>
        <w:t xml:space="preserve">Road Freight (Heavy Goods Vehicle &gt; 32t) for European leg, Ocean Freight for intercontinental leg.</w:t>
      </w:r>
    </w:p>
    <w:p>
      <w:pPr>
        <w:numPr>
          <w:ilvl w:val="0"/>
          <w:numId w:val="1009"/>
        </w:numPr>
        <w:pStyle w:val="Compact"/>
      </w:pPr>
      <w:r>
        <w:rPr>
          <w:bCs/>
          <w:b/>
        </w:rPr>
        <w:t xml:space="preserve">Illustrative Transport Distance (from \'fhsrhtgtuj\'):</w:t>
      </w:r>
    </w:p>
    <w:p>
      <w:pPr>
        <w:numPr>
          <w:ilvl w:val="1"/>
          <w:numId w:val="1010"/>
        </w:numPr>
        <w:pStyle w:val="Compact"/>
      </w:pPr>
      <w:r>
        <w:t xml:space="preserve">European Road Freight: 800 km</w:t>
      </w:r>
    </w:p>
    <w:p>
      <w:pPr>
        <w:numPr>
          <w:ilvl w:val="1"/>
          <w:numId w:val="1010"/>
        </w:numPr>
        <w:pStyle w:val="Compact"/>
      </w:pPr>
      <w:r>
        <w:t xml:space="preserve">Ocean Freight (Europe to China): 20,000 km</w:t>
      </w:r>
    </w:p>
    <w:p>
      <w:pPr>
        <w:numPr>
          <w:ilvl w:val="0"/>
          <w:numId w:val="1009"/>
        </w:numPr>
        <w:pStyle w:val="Compact"/>
      </w:pPr>
      <w:r>
        <w:rPr>
          <w:bCs/>
          <w:b/>
        </w:rPr>
        <w:t xml:space="preserve">Illustrative Emission Factors (per tonne-km, e.g., DEFRA):</w:t>
      </w:r>
    </w:p>
    <w:p>
      <w:pPr>
        <w:numPr>
          <w:ilvl w:val="1"/>
          <w:numId w:val="1011"/>
        </w:numPr>
        <w:pStyle w:val="Compact"/>
      </w:pPr>
      <w:r>
        <w:t xml:space="preserve">Road Freight (HGV &gt; 32t): 0.06 kg CO2e/tonne-km</w:t>
      </w:r>
    </w:p>
    <w:p>
      <w:pPr>
        <w:numPr>
          <w:ilvl w:val="1"/>
          <w:numId w:val="1011"/>
        </w:numPr>
        <w:pStyle w:val="Compact"/>
      </w:pPr>
      <w:r>
        <w:t xml:space="preserve">Ocean Freight: 0.01 kg CO2e/tonne-km</w:t>
      </w:r>
    </w:p>
    <w:p>
      <w:pPr>
        <w:numPr>
          <w:ilvl w:val="0"/>
          <w:numId w:val="1009"/>
        </w:numPr>
        <w:pStyle w:val="Compact"/>
      </w:pPr>
      <w:r>
        <w:rPr>
          <w:bCs/>
          <w:b/>
        </w:rPr>
        <w:t xml:space="preserve">Total Product Weight (materials + packaging):</w:t>
      </w:r>
      <w:r>
        <w:t xml:space="preserve"> </w:t>
      </w:r>
      <w:r>
        <w:t xml:space="preserve">0.75+0.4+0.15+0.05+0.02+0.2+0.03 = 1.6 kg (approx. 0.0016 tonnes)</w:t>
      </w:r>
    </w:p>
    <w:p>
      <w:pPr>
        <w:pStyle w:val="FirstParagraph"/>
      </w:pPr>
      <w:r>
        <w:rPr>
          <w:bCs/>
          <w:b/>
        </w:rPr>
        <w:t xml:space="preserve">Calculation for Upstream Transport:</w:t>
      </w:r>
    </w:p>
    <w:p>
      <w:pPr>
        <w:numPr>
          <w:ilvl w:val="0"/>
          <w:numId w:val="1012"/>
        </w:numPr>
        <w:pStyle w:val="Compact"/>
      </w:pPr>
      <w:r>
        <w:t xml:space="preserve">Road Freight: 0.0016 tonnes * 800 km * 0.06 kg CO2e/tonne-km = 0.0768 kg CO2e</w:t>
      </w:r>
    </w:p>
    <w:p>
      <w:pPr>
        <w:numPr>
          <w:ilvl w:val="0"/>
          <w:numId w:val="1012"/>
        </w:numPr>
        <w:pStyle w:val="Compact"/>
      </w:pPr>
      <w:r>
        <w:t xml:space="preserve">Ocean Freight: 0.0016 tonnes * 20000 km * 0.01 kg CO2e/tonne-km = 0.32 kg CO2e</w:t>
      </w:r>
    </w:p>
    <w:p>
      <w:pPr>
        <w:pStyle w:val="FirstParagraph"/>
      </w:pPr>
      <w:r>
        <w:t xml:space="preserve">Total upstream transportation emissions (Scope 3 Upstream):</w:t>
      </w:r>
      <w:r>
        <w:t xml:space="preserve"> </w:t>
      </w:r>
      <w:r>
        <w:rPr>
          <w:bCs/>
          <w:b/>
        </w:rPr>
        <w:t xml:space="preserve">0.3968 kg CO2e</w:t>
      </w:r>
    </w:p>
    <w:bookmarkEnd w:id="31"/>
    <w:bookmarkStart w:id="32" w:name="Xb3ae69460d6f622a2a0c412561f4f5693f3b974"/>
    <w:p>
      <w:pPr>
        <w:pStyle w:val="Heading4"/>
      </w:pPr>
      <w:r>
        <w:t xml:space="preserve">2.3.2 Downstream Transportation (Scope 3 - Distribution)</w:t>
      </w:r>
    </w:p>
    <w:p>
      <w:pPr>
        <w:pStyle w:val="FirstParagraph"/>
      </w:pPr>
      <w:r>
        <w:t xml:space="preserve">Transport from the factory gate to the customer\'s distribution center, and last-mile delivery.</w:t>
      </w:r>
    </w:p>
    <w:p>
      <w:pPr>
        <w:numPr>
          <w:ilvl w:val="0"/>
          <w:numId w:val="1013"/>
        </w:numPr>
        <w:pStyle w:val="Compact"/>
      </w:pPr>
      <w:r>
        <w:rPr>
          <w:bCs/>
          <w:b/>
        </w:rPr>
        <w:t xml:space="preserve">Illustrative Transport Mode (from \'Select Mode\'):</w:t>
      </w:r>
      <w:r>
        <w:t xml:space="preserve"> </w:t>
      </w:r>
      <w:r>
        <w:t xml:space="preserve">Ocean Freight (China to Europe) followed by Road Freight for regional distribution.</w:t>
      </w:r>
    </w:p>
    <w:p>
      <w:pPr>
        <w:numPr>
          <w:ilvl w:val="0"/>
          <w:numId w:val="1013"/>
        </w:numPr>
        <w:pStyle w:val="Compact"/>
      </w:pPr>
      <w:r>
        <w:rPr>
          <w:bCs/>
          <w:b/>
        </w:rPr>
        <w:t xml:space="preserve">Illustrative Transport Distance (from \'fhsrhtgtuj\'):</w:t>
      </w:r>
    </w:p>
    <w:p>
      <w:pPr>
        <w:numPr>
          <w:ilvl w:val="1"/>
          <w:numId w:val="1014"/>
        </w:numPr>
        <w:pStyle w:val="Compact"/>
      </w:pPr>
      <w:r>
        <w:t xml:space="preserve">Ocean Freight (China to Europe): 20,000 km</w:t>
      </w:r>
    </w:p>
    <w:p>
      <w:pPr>
        <w:numPr>
          <w:ilvl w:val="1"/>
          <w:numId w:val="1014"/>
        </w:numPr>
        <w:pStyle w:val="Compact"/>
      </w:pPr>
      <w:r>
        <w:t xml:space="preserve">European Road Freight (regional distribution): 500 km</w:t>
      </w:r>
    </w:p>
    <w:p>
      <w:pPr>
        <w:numPr>
          <w:ilvl w:val="0"/>
          <w:numId w:val="1013"/>
        </w:numPr>
        <w:pStyle w:val="Compact"/>
      </w:pPr>
      <w:r>
        <w:rPr>
          <w:bCs/>
          <w:b/>
        </w:rPr>
        <w:t xml:space="preserve">Last-Mile Delivery Channel (from \'Delivery Type\'):</w:t>
      </w:r>
      <w:r>
        <w:t xml:space="preserve"> </w:t>
      </w:r>
      <w:r>
        <w:t xml:space="preserve">Light Commercial Vehicle (LCV)</w:t>
      </w:r>
    </w:p>
    <w:p>
      <w:pPr>
        <w:numPr>
          <w:ilvl w:val="0"/>
          <w:numId w:val="1013"/>
        </w:numPr>
        <w:pStyle w:val="Compact"/>
      </w:pPr>
      <w:r>
        <w:rPr>
          <w:bCs/>
          <w:b/>
        </w:rPr>
        <w:t xml:space="preserve">Illustrative Last-Mile Distance:</w:t>
      </w:r>
      <w:r>
        <w:t xml:space="preserve"> </w:t>
      </w:r>
      <w:r>
        <w:t xml:space="preserve">50 km</w:t>
      </w:r>
    </w:p>
    <w:p>
      <w:pPr>
        <w:numPr>
          <w:ilvl w:val="0"/>
          <w:numId w:val="1013"/>
        </w:numPr>
        <w:pStyle w:val="Compact"/>
      </w:pPr>
      <w:r>
        <w:rPr>
          <w:bCs/>
          <w:b/>
        </w:rPr>
        <w:t xml:space="preserve">Illustrative Emission Factors:</w:t>
      </w:r>
    </w:p>
    <w:p>
      <w:pPr>
        <w:numPr>
          <w:ilvl w:val="1"/>
          <w:numId w:val="1015"/>
        </w:numPr>
        <w:pStyle w:val="Compact"/>
      </w:pPr>
      <w:r>
        <w:t xml:space="preserve">Ocean Freight: 0.01 kg CO2e/tonne-km</w:t>
      </w:r>
    </w:p>
    <w:p>
      <w:pPr>
        <w:numPr>
          <w:ilvl w:val="1"/>
          <w:numId w:val="1015"/>
        </w:numPr>
        <w:pStyle w:val="Compact"/>
      </w:pPr>
      <w:r>
        <w:t xml:space="preserve">Road Freight (HGV &gt; 32t): 0.06 kg CO2e/tonne-km</w:t>
      </w:r>
    </w:p>
    <w:p>
      <w:pPr>
        <w:numPr>
          <w:ilvl w:val="1"/>
          <w:numId w:val="1015"/>
        </w:numPr>
        <w:pStyle w:val="Compact"/>
      </w:pPr>
      <w:r>
        <w:t xml:space="preserve">Light Commercial Vehicle (LCV): 0.2 kg CO2e/vehicle-km (assuming multiple units per vehicle, for 1 unit: 0.0016 tonnes * 0.2 kg CO2e/tonne-km = 0.00032 kg/km, but LCVs are often measured per km or per item in last mile. Let\'s assume a simplified per unit factor for last mile for illustrative purposes: 0.05 kg CO2e/unit-km)</w:t>
      </w:r>
    </w:p>
    <w:p>
      <w:pPr>
        <w:pStyle w:val="FirstParagraph"/>
      </w:pPr>
      <w:r>
        <w:rPr>
          <w:bCs/>
          <w:b/>
        </w:rPr>
        <w:t xml:space="preserve">Calculation for Downstream Transport:</w:t>
      </w:r>
    </w:p>
    <w:p>
      <w:pPr>
        <w:numPr>
          <w:ilvl w:val="0"/>
          <w:numId w:val="1016"/>
        </w:numPr>
        <w:pStyle w:val="Compact"/>
      </w:pPr>
      <w:r>
        <w:t xml:space="preserve">Ocean Freight: 0.0016 tonnes * 20000 km * 0.01 kg CO2e/tonne-km = 0.32 kg CO2e</w:t>
      </w:r>
    </w:p>
    <w:p>
      <w:pPr>
        <w:numPr>
          <w:ilvl w:val="0"/>
          <w:numId w:val="1016"/>
        </w:numPr>
        <w:pStyle w:val="Compact"/>
      </w:pPr>
      <w:r>
        <w:t xml:space="preserve">Road Freight (regional): 0.0016 tonnes * 500 km * 0.06 kg CO2e/tonne-km = 0.048 kg CO2e</w:t>
      </w:r>
    </w:p>
    <w:p>
      <w:pPr>
        <w:numPr>
          <w:ilvl w:val="0"/>
          <w:numId w:val="1016"/>
        </w:numPr>
        <w:pStyle w:val="Compact"/>
      </w:pPr>
      <w:r>
        <w:t xml:space="preserve">Last-Mile Delivery: 1 unit * 50 km * 0.05 kg CO2e/unit-km = 2.5 kg CO2e (This factor is quite high for a single unit, implying individual package delivery or a conservative estimate to ensure 95% Scope 3 coverage. In reality, it would be allocated per parcel.)</w:t>
      </w:r>
    </w:p>
    <w:p>
      <w:pPr>
        <w:pStyle w:val="FirstParagraph"/>
      </w:pPr>
      <w:r>
        <w:t xml:space="preserve">Total downstream transportation emissions (Scope 3 Downstream):</w:t>
      </w:r>
      <w:r>
        <w:t xml:space="preserve"> </w:t>
      </w:r>
      <w:r>
        <w:rPr>
          <w:bCs/>
          <w:b/>
        </w:rPr>
        <w:t xml:space="preserve">2.868 kg CO2e</w:t>
      </w:r>
    </w:p>
    <w:bookmarkEnd w:id="32"/>
    <w:bookmarkEnd w:id="33"/>
    <w:bookmarkStart w:id="34" w:name="X77da992ceebb2f9449c973347fba455c4e72562"/>
    <w:p>
      <w:pPr>
        <w:pStyle w:val="Heading3"/>
      </w:pPr>
      <w:r>
        <w:t xml:space="preserve">2.4 Product Use Phase (Illustrative, Scope 3 Downstream)</w:t>
      </w:r>
    </w:p>
    <w:p>
      <w:pPr>
        <w:pStyle w:val="FirstParagraph"/>
      </w:pPr>
      <w:r>
        <w:t xml:space="preserve">The use phase is calculated based on the product\'s lifespan and energy consumption during use.</w:t>
      </w:r>
    </w:p>
    <w:p>
      <w:pPr>
        <w:numPr>
          <w:ilvl w:val="0"/>
          <w:numId w:val="1017"/>
        </w:numPr>
        <w:pStyle w:val="Compact"/>
      </w:pPr>
      <w:r>
        <w:rPr>
          <w:bCs/>
          <w:b/>
        </w:rPr>
        <w:t xml:space="preserve">Product Lifespan (from \'ftzryzzkuu\'):</w:t>
      </w:r>
      <w:r>
        <w:t xml:space="preserve"> </w:t>
      </w:r>
      <w:r>
        <w:t xml:space="preserve">7 years</w:t>
      </w:r>
    </w:p>
    <w:p>
      <w:pPr>
        <w:numPr>
          <w:ilvl w:val="0"/>
          <w:numId w:val="1017"/>
        </w:numPr>
        <w:pStyle w:val="Compact"/>
      </w:pPr>
      <w:r>
        <w:rPr>
          <w:bCs/>
          <w:b/>
        </w:rPr>
        <w:t xml:space="preserve">Energy Consumption in Use (from \'wrnhrknugh\'):</w:t>
      </w:r>
      <w:r>
        <w:t xml:space="preserve"> </w:t>
      </w:r>
      <w:r>
        <w:t xml:space="preserve">5 kWh/year</w:t>
      </w:r>
    </w:p>
    <w:p>
      <w:pPr>
        <w:numPr>
          <w:ilvl w:val="0"/>
          <w:numId w:val="1017"/>
        </w:numPr>
        <w:pStyle w:val="Compact"/>
      </w:pPr>
      <w:r>
        <w:rPr>
          <w:bCs/>
          <w:b/>
        </w:rPr>
        <w:t xml:space="preserve">Total Energy Consumption over Lifespan:</w:t>
      </w:r>
      <w:r>
        <w:t xml:space="preserve"> </w:t>
      </w:r>
      <w:r>
        <w:t xml:space="preserve">7 years * 5 kWh/year = 35 kWh</w:t>
      </w:r>
    </w:p>
    <w:p>
      <w:pPr>
        <w:numPr>
          <w:ilvl w:val="0"/>
          <w:numId w:val="1017"/>
        </w:numPr>
        <w:pStyle w:val="Compact"/>
      </w:pPr>
      <w:r>
        <w:rPr>
          <w:bCs/>
          <w:b/>
        </w:rPr>
        <w:t xml:space="preserve">Illustrative Average User Electricity Grid Emission Factor (e.g., European average):</w:t>
      </w:r>
      <w:r>
        <w:t xml:space="preserve"> </w:t>
      </w:r>
      <w:r>
        <w:t xml:space="preserve">0.25 kg CO2e/kWh (assuming product is used in Europe, reflecting a greener grid than China)</w:t>
      </w:r>
    </w:p>
    <w:p>
      <w:pPr>
        <w:pStyle w:val="FirstParagraph"/>
      </w:pPr>
      <w:r>
        <w:rPr>
          <w:bCs/>
          <w:b/>
        </w:rPr>
        <w:t xml:space="preserve">Calculation for Use Phase:</w:t>
      </w:r>
    </w:p>
    <w:p>
      <w:pPr>
        <w:numPr>
          <w:ilvl w:val="0"/>
          <w:numId w:val="1018"/>
        </w:numPr>
        <w:pStyle w:val="Compact"/>
      </w:pPr>
      <w:r>
        <w:t xml:space="preserve">Emissions from use phase: 35 kWh * 0.25 kg CO2e/kWh = 8.75 kg CO2e</w:t>
      </w:r>
    </w:p>
    <w:p>
      <w:pPr>
        <w:pStyle w:val="FirstParagraph"/>
      </w:pPr>
      <w:r>
        <w:t xml:space="preserve">Total use phase emissions (Scope 3 Downstream):</w:t>
      </w:r>
      <w:r>
        <w:t xml:space="preserve"> </w:t>
      </w:r>
      <w:r>
        <w:rPr>
          <w:bCs/>
          <w:b/>
        </w:rPr>
        <w:t xml:space="preserve">8.75 kg CO2e</w:t>
      </w:r>
    </w:p>
    <w:bookmarkEnd w:id="34"/>
    <w:bookmarkStart w:id="35" w:name="X983604371ac52de668b2be3521261f62afedb34"/>
    <w:p>
      <w:pPr>
        <w:pStyle w:val="Heading3"/>
      </w:pPr>
      <w:r>
        <w:t xml:space="preserve">2.5 End-of-Life (EoL) Scenarios (Illustrative, Scope 3 Downstream)</w:t>
      </w:r>
    </w:p>
    <w:p>
      <w:pPr>
        <w:pStyle w:val="FirstParagraph"/>
      </w:pPr>
      <w:r>
        <w:t xml:space="preserve">End-of-life impacts are incorporated based on recyclability and circular economy programs.</w:t>
      </w:r>
    </w:p>
    <w:p>
      <w:pPr>
        <w:numPr>
          <w:ilvl w:val="0"/>
          <w:numId w:val="1019"/>
        </w:numPr>
        <w:pStyle w:val="Compact"/>
      </w:pPr>
      <w:r>
        <w:rPr>
          <w:bCs/>
          <w:b/>
        </w:rPr>
        <w:t xml:space="preserve">Recyclability Percentage (from \'tgzkijiesm\'):</w:t>
      </w:r>
      <w:r>
        <w:t xml:space="preserve"> </w:t>
      </w:r>
      <w:r>
        <w:t xml:space="preserve">70%</w:t>
      </w:r>
    </w:p>
    <w:p>
      <w:pPr>
        <w:numPr>
          <w:ilvl w:val="0"/>
          <w:numId w:val="1019"/>
        </w:numPr>
        <w:pStyle w:val="Compact"/>
      </w:pPr>
      <w:r>
        <w:rPr>
          <w:bCs/>
          <w:b/>
        </w:rPr>
        <w:t xml:space="preserve">Circular/Take-back Programs (from \'ydpdjxqnql\'):</w:t>
      </w:r>
      <w:r>
        <w:t xml:space="preserve"> </w:t>
      </w:r>
      <w:r>
        <w:t xml:space="preserve">Established product take-back and refurbishment program (assumed to extend product life or enable high-quality recycling/reuse).</w:t>
      </w:r>
    </w:p>
    <w:p>
      <w:pPr>
        <w:pStyle w:val="FirstParagraph"/>
      </w:pPr>
      <w:r>
        <w:rPr>
          <w:bCs/>
          <w:b/>
        </w:rPr>
        <w:t xml:space="preserve">Calculation for End-of-Life:</w:t>
      </w:r>
    </w:p>
    <w:p>
      <w:pPr>
        <w:pStyle w:val="BodyText"/>
      </w:pPr>
      <w:r>
        <w:t xml:space="preserve">For EoL, we consider both disposal of non-recycled waste and benefits/burdens of recycling. We use a simplified approach for illustration, considering the \'avoided burden\' for recycled content.</w:t>
      </w:r>
    </w:p>
    <w:p>
      <w:pPr>
        <w:numPr>
          <w:ilvl w:val="0"/>
          <w:numId w:val="1020"/>
        </w:numPr>
        <w:pStyle w:val="Compact"/>
      </w:pPr>
      <w:r>
        <w:t xml:space="preserve">Total product weight: 1.6 kg</w:t>
      </w:r>
    </w:p>
    <w:p>
      <w:pPr>
        <w:numPr>
          <w:ilvl w:val="0"/>
          <w:numId w:val="1020"/>
        </w:numPr>
        <w:pStyle w:val="Compact"/>
      </w:pPr>
      <w:r>
        <w:t xml:space="preserve">Recycled portion: 1.6 kg * 70% = 1.12 kg</w:t>
      </w:r>
    </w:p>
    <w:p>
      <w:pPr>
        <w:numPr>
          <w:ilvl w:val="0"/>
          <w:numId w:val="1020"/>
        </w:numPr>
        <w:pStyle w:val="Compact"/>
      </w:pPr>
      <w:r>
        <w:t xml:space="preserve">Disposed portion: 1.6 kg * 30% = 0.48 kg</w:t>
      </w:r>
    </w:p>
    <w:p>
      <w:pPr>
        <w:numPr>
          <w:ilvl w:val="0"/>
          <w:numId w:val="1020"/>
        </w:numPr>
        <w:pStyle w:val="Compact"/>
      </w:pPr>
      <w:r>
        <w:rPr>
          <w:bCs/>
          <w:b/>
        </w:rPr>
        <w:t xml:space="preserve">Illustrative Emission Factor for Incineration/Landfill:</w:t>
      </w:r>
      <w:r>
        <w:t xml:space="preserve"> </w:t>
      </w:r>
      <w:r>
        <w:t xml:space="preserve">1.5 kg CO2e/kg (for disposed waste, representing energy recovery from incineration or landfill emissions)</w:t>
      </w:r>
    </w:p>
    <w:p>
      <w:pPr>
        <w:numPr>
          <w:ilvl w:val="0"/>
          <w:numId w:val="1020"/>
        </w:numPr>
        <w:pStyle w:val="Compact"/>
      </w:pPr>
      <w:r>
        <w:rPr>
          <w:bCs/>
          <w:b/>
        </w:rPr>
        <w:t xml:space="preserve">Illustrative Avoided Burden for Recycling:</w:t>
      </w:r>
      <w:r>
        <w:t xml:space="preserve"> </w:t>
      </w:r>
      <w:r>
        <w:t xml:space="preserve">-2.0 kg CO2e/kg (representing displacement of virgin material production, e.g., for metals and plastics)</w:t>
      </w:r>
    </w:p>
    <w:p>
      <w:pPr>
        <w:numPr>
          <w:ilvl w:val="0"/>
          <w:numId w:val="1020"/>
        </w:numPr>
        <w:pStyle w:val="Compact"/>
      </w:pPr>
      <w:r>
        <w:rPr>
          <w:bCs/>
          <w:b/>
        </w:rPr>
        <w:t xml:space="preserve">Illustrative Burden for Recycling Process:</w:t>
      </w:r>
      <w:r>
        <w:t xml:space="preserve"> </w:t>
      </w:r>
      <w:r>
        <w:t xml:space="preserve">0.3 kg CO2e/kg (energy used in recycling facilities)</w:t>
      </w:r>
    </w:p>
    <w:p>
      <w:pPr>
        <w:pStyle w:val="FirstParagraph"/>
      </w:pPr>
      <w:r>
        <w:rPr>
          <w:bCs/>
          <w:b/>
        </w:rPr>
        <w:t xml:space="preserve">Calculations:</w:t>
      </w:r>
    </w:p>
    <w:p>
      <w:pPr>
        <w:numPr>
          <w:ilvl w:val="0"/>
          <w:numId w:val="1021"/>
        </w:numPr>
        <w:pStyle w:val="Compact"/>
      </w:pPr>
      <w:r>
        <w:t xml:space="preserve">Emissions from disposed waste: 0.48 kg * 1.5 kg CO2e/kg = 0.72 kg CO2e</w:t>
      </w:r>
    </w:p>
    <w:p>
      <w:pPr>
        <w:numPr>
          <w:ilvl w:val="0"/>
          <w:numId w:val="1021"/>
        </w:numPr>
        <w:pStyle w:val="Compact"/>
      </w:pPr>
      <w:r>
        <w:t xml:space="preserve">Net impact from recycled portion: (1.12 kg * -2.0 kg CO2e/kg) + (1.12 kg * 0.3 kg CO2e/kg) = -2.24 kg CO2e + 0.336 kg CO2e = -1.904 kg CO2e</w:t>
      </w:r>
    </w:p>
    <w:p>
      <w:pPr>
        <w:pStyle w:val="FirstParagraph"/>
      </w:pPr>
      <w:r>
        <w:t xml:space="preserve">Total End-of-Life net impact (Scope 3 Downstream):</w:t>
      </w:r>
      <w:r>
        <w:t xml:space="preserve"> </w:t>
      </w:r>
      <w:r>
        <w:rPr>
          <w:bCs/>
          <w:b/>
        </w:rPr>
        <w:t xml:space="preserve">-1.184 kg CO2e</w:t>
      </w:r>
      <w:r>
        <w:t xml:space="preserve"> </w:t>
      </w:r>
      <w:r>
        <w:t xml:space="preserve">(indicating a net carbon saving due to high recyclability and circular programs)</w:t>
      </w:r>
    </w:p>
    <w:bookmarkEnd w:id="35"/>
    <w:bookmarkEnd w:id="36"/>
    <w:p>
      <w:r>
        <w:pict>
          <v:rect style="width:0;height:1.5pt" o:hralign="center" o:hrstd="t" o:hr="t"/>
        </w:pict>
      </w:r>
    </w:p>
    <w:bookmarkStart w:id="41" w:name="calculate-emissions"/>
    <w:p>
      <w:pPr>
        <w:pStyle w:val="Heading2"/>
      </w:pPr>
      <w:r>
        <w:t xml:space="preserve">4. Calculate Emissions</w:t>
      </w:r>
    </w:p>
    <w:p>
      <w:pPr>
        <w:pStyle w:val="FirstParagraph"/>
      </w:pPr>
      <w:r>
        <w:t xml:space="preserve">Based on the data collected and illustrative calculations in the previous section, the total Product Carbon Footprint for one functional unit of vdmekgevqw is aggregated and categorized according to the GHG Protocol.</w:t>
      </w:r>
    </w:p>
    <w:bookmarkStart w:id="37" w:name="ghg-protocol-scope-categorization"/>
    <w:p>
      <w:pPr>
        <w:pStyle w:val="Heading3"/>
      </w:pPr>
      <w:r>
        <w:t xml:space="preserve">4.1 GHG Protocol Scope Categorization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Lifecycle Stage(s)</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Manufacturing (on-site fuel, process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 Emissions</w:t>
            </w:r>
          </w:p>
        </w:tc>
        <w:tc>
          <w:tcPr/>
          <w:p>
            <w:pPr>
              <w:pStyle w:val="Compact"/>
              <w:jc w:val="left"/>
            </w:pPr>
            <w:r>
              <w:t xml:space="preserve">Manufacturing (electricity, heat, steam)</w:t>
            </w:r>
          </w:p>
        </w:tc>
        <w:tc>
          <w:tcPr/>
          <w:p>
            <w:pPr>
              <w:pStyle w:val="Compact"/>
              <w:jc w:val="left"/>
            </w:pPr>
            <w:r>
              <w:t xml:space="preserve">1.75</w:t>
            </w:r>
          </w:p>
        </w:tc>
      </w:tr>
      <w:tr>
        <w:tc>
          <w:tcPr/>
          <w:p>
            <w:pPr>
              <w:pStyle w:val="Compact"/>
              <w:jc w:val="left"/>
            </w:pPr>
            <w:r>
              <w:rPr>
                <w:bCs/>
                <w:b/>
              </w:rPr>
              <w:t xml:space="preserve">Scope 3 Upstream</w:t>
            </w:r>
          </w:p>
        </w:tc>
        <w:tc>
          <w:tcPr/>
          <w:p>
            <w:pPr>
              <w:pStyle w:val="Compact"/>
              <w:jc w:val="left"/>
            </w:pPr>
            <w:r>
              <w:t xml:space="preserve">Material Acquisition &amp; Processing</w:t>
            </w:r>
          </w:p>
        </w:tc>
        <w:tc>
          <w:tcPr/>
          <w:p>
            <w:pPr>
              <w:pStyle w:val="Compact"/>
              <w:jc w:val="left"/>
            </w:pPr>
            <w:r>
              <w:t xml:space="preserve">Raw Material Extraction &amp; Production</w:t>
            </w:r>
          </w:p>
        </w:tc>
        <w:tc>
          <w:tcPr/>
          <w:p>
            <w:pPr>
              <w:pStyle w:val="Compact"/>
              <w:jc w:val="left"/>
            </w:pPr>
            <w:r>
              <w:t xml:space="preserve">10.43</w:t>
            </w:r>
          </w:p>
        </w:tc>
      </w:tr>
      <w:tr>
        <w:tc>
          <w:tcPr/>
          <w:p>
            <w:pPr>
              <w:pStyle w:val="Compact"/>
            </w:pPr>
          </w:p>
        </w:tc>
        <w:tc>
          <w:tcPr/>
          <w:p>
            <w:pPr>
              <w:pStyle w:val="Compact"/>
              <w:jc w:val="left"/>
            </w:pPr>
            <w:r>
              <w:t xml:space="preserve">Upstream Transportation</w:t>
            </w:r>
          </w:p>
        </w:tc>
        <w:tc>
          <w:tcPr/>
          <w:p>
            <w:pPr>
              <w:pStyle w:val="Compact"/>
              <w:jc w:val="left"/>
            </w:pPr>
            <w:r>
              <w:t xml:space="preserve">Transport of materials to factory</w:t>
            </w:r>
          </w:p>
        </w:tc>
        <w:tc>
          <w:tcPr/>
          <w:p>
            <w:pPr>
              <w:pStyle w:val="Compact"/>
              <w:jc w:val="left"/>
            </w:pPr>
            <w:r>
              <w:t xml:space="preserve">0.3968</w:t>
            </w:r>
          </w:p>
        </w:tc>
      </w:tr>
      <w:tr>
        <w:tc>
          <w:tcPr/>
          <w:p>
            <w:pPr>
              <w:pStyle w:val="Compact"/>
              <w:jc w:val="left"/>
            </w:pPr>
            <w:r>
              <w:rPr>
                <w:bCs/>
                <w:b/>
              </w:rPr>
              <w:t xml:space="preserve">Scope 3 Downstream</w:t>
            </w:r>
          </w:p>
        </w:tc>
        <w:tc>
          <w:tcPr/>
          <w:p>
            <w:pPr>
              <w:pStyle w:val="Compact"/>
              <w:jc w:val="left"/>
            </w:pPr>
            <w:r>
              <w:t xml:space="preserve">Downstream Transportation</w:t>
            </w:r>
          </w:p>
        </w:tc>
        <w:tc>
          <w:tcPr/>
          <w:p>
            <w:pPr>
              <w:pStyle w:val="Compact"/>
              <w:jc w:val="left"/>
            </w:pPr>
            <w:r>
              <w:t xml:space="preserve">Transport from factory to customer, last-mile</w:t>
            </w:r>
          </w:p>
        </w:tc>
        <w:tc>
          <w:tcPr/>
          <w:p>
            <w:pPr>
              <w:pStyle w:val="Compact"/>
              <w:jc w:val="left"/>
            </w:pPr>
            <w:r>
              <w:t xml:space="preserve">2.868</w:t>
            </w:r>
          </w:p>
        </w:tc>
      </w:tr>
      <w:tr>
        <w:tc>
          <w:tcPr/>
          <w:p>
            <w:pPr>
              <w:pStyle w:val="Compact"/>
            </w:pPr>
          </w:p>
        </w:tc>
        <w:tc>
          <w:tcPr/>
          <w:p>
            <w:pPr>
              <w:pStyle w:val="Compact"/>
              <w:jc w:val="left"/>
            </w:pPr>
            <w:r>
              <w:t xml:space="preserve">Use Phase</w:t>
            </w:r>
          </w:p>
        </w:tc>
        <w:tc>
          <w:tcPr/>
          <w:p>
            <w:pPr>
              <w:pStyle w:val="Compact"/>
              <w:jc w:val="left"/>
            </w:pPr>
            <w:r>
              <w:t xml:space="preserve">Energy consumption during product lifespan</w:t>
            </w:r>
          </w:p>
        </w:tc>
        <w:tc>
          <w:tcPr/>
          <w:p>
            <w:pPr>
              <w:pStyle w:val="Compact"/>
              <w:jc w:val="left"/>
            </w:pPr>
            <w:r>
              <w:t xml:space="preserve">8.75</w:t>
            </w:r>
          </w:p>
        </w:tc>
      </w:tr>
      <w:tr>
        <w:tc>
          <w:tcPr/>
          <w:p>
            <w:pPr>
              <w:pStyle w:val="Compact"/>
            </w:pPr>
          </w:p>
        </w:tc>
        <w:tc>
          <w:tcPr/>
          <w:p>
            <w:pPr>
              <w:pStyle w:val="Compact"/>
              <w:jc w:val="left"/>
            </w:pPr>
            <w:r>
              <w:t xml:space="preserve">End-of-Life Treatment</w:t>
            </w:r>
          </w:p>
        </w:tc>
        <w:tc>
          <w:tcPr/>
          <w:p>
            <w:pPr>
              <w:pStyle w:val="Compact"/>
              <w:jc w:val="left"/>
            </w:pPr>
            <w:r>
              <w:t xml:space="preserve">Disposal, recycling, circularity impacts</w:t>
            </w:r>
          </w:p>
        </w:tc>
        <w:tc>
          <w:tcPr/>
          <w:p>
            <w:pPr>
              <w:pStyle w:val="Compact"/>
              <w:jc w:val="left"/>
            </w:pPr>
            <w:r>
              <w:t xml:space="preserve">-1.184</w:t>
            </w:r>
          </w:p>
        </w:tc>
      </w:tr>
    </w:tbl>
    <w:bookmarkEnd w:id="37"/>
    <w:bookmarkStart w:id="38" w:name="total-product-carbon-footprint"/>
    <w:p>
      <w:pPr>
        <w:pStyle w:val="Heading3"/>
      </w:pPr>
      <w:r>
        <w:t xml:space="preserve">4.2 Total Product Carbon Footprint</w:t>
      </w:r>
    </w:p>
    <w:p>
      <w:pPr>
        <w:pStyle w:val="FirstParagraph"/>
      </w:pPr>
      <w:r>
        <w:rPr>
          <w:bCs/>
          <w:b/>
        </w:rPr>
        <w:t xml:space="preserve">Total PCF (Cradle-to-Grave, Illustrative):</w:t>
      </w:r>
    </w:p>
    <w:p>
      <w:pPr>
        <w:pStyle w:val="BodyText"/>
      </w:pPr>
      <w:r>
        <w:t xml:space="preserve">Scope 1 + Scope 2 + Scope 3 Upstream + Scope 3 Downstream</w:t>
      </w:r>
    </w:p>
    <w:p>
      <w:pPr>
        <w:pStyle w:val="BodyText"/>
      </w:pPr>
      <w:r>
        <w:t xml:space="preserve">= 0.00 + 1.75 + (10.43 + 0.3968) + (2.868 + 8.75 - 1.184)</w:t>
      </w:r>
    </w:p>
    <w:p>
      <w:pPr>
        <w:pStyle w:val="BodyText"/>
      </w:pPr>
      <w:r>
        <w:t xml:space="preserve">= 1.75 + 10.8268 + 10.434</w:t>
      </w:r>
    </w:p>
    <w:p>
      <w:pPr>
        <w:pStyle w:val="BodyText"/>
      </w:pPr>
      <w:r>
        <w:rPr>
          <w:bCs/>
          <w:b/>
        </w:rPr>
        <w:t xml:space="preserve">Total PCF = 23.01 kg CO2e per 1.0 unit of vdmekgevqw</w:t>
      </w:r>
    </w:p>
    <w:bookmarkEnd w:id="38"/>
    <w:bookmarkStart w:id="39" w:name="Xa4cd520132ca8e9e3f29e21de3f4a8c33c191a4"/>
    <w:p>
      <w:pPr>
        <w:pStyle w:val="Heading3"/>
      </w:pPr>
      <w:r>
        <w:t xml:space="preserve">4.3 Land Sector and Removals (LSR) Standard Application (2026 Update)</w:t>
      </w:r>
    </w:p>
    <w:p>
      <w:pPr>
        <w:pStyle w:val="FirstParagraph"/>
      </w:pPr>
      <w:r>
        <w:t xml:space="preserve">The 2026 LSR Standard is integrated by considering any land-use related emissions or removals associated with the raw materials (e.g., biomass-derived materials, packaging from sustainably managed forests) or carbon sequestration in products (if applicable). For the illustrative BOM, we assume that the "Recycled Cardboard" packaging (MAT006) inherently benefits from reduced land-use impact compared to virgin paper, and the \'avoided burden\' calculation implicitly accounts for this. If the product contained bio-based materials from newly afforested lands, carbon removals would be explicitly quantified and reported.</w:t>
      </w:r>
    </w:p>
    <w:p>
      <w:pPr>
        <w:pStyle w:val="BodyText"/>
      </w:pPr>
      <w:r>
        <w:t xml:space="preserve">For this specific product, assuming standard industrial components, no direct land-use change emissions (e.g., deforestation for sourcing) or direct removals are identified beyond the inherent benefits of recycled content and robust circular programs. In a more detailed analysis, specific material supply chains would be screened for LSR impacts.</w:t>
      </w:r>
    </w:p>
    <w:bookmarkEnd w:id="39"/>
    <w:bookmarkStart w:id="40" w:name="scope-3-compliance-2026-requirements"/>
    <w:p>
      <w:pPr>
        <w:pStyle w:val="Heading3"/>
      </w:pPr>
      <w:r>
        <w:t xml:space="preserve">4.4 Scope 3 Compliance (2026 Requirements)</w:t>
      </w:r>
    </w:p>
    <w:p>
      <w:pPr>
        <w:pStyle w:val="FirstParagraph"/>
      </w:pPr>
      <w:r>
        <w:t xml:space="preserve">This report has aimed to achieve at least 95% coverage for Scope 3 emissions. By including raw materials, upstream transportation, manufacturing waste (implicitly in material EFs or negligible), downstream transportation, use phase, and end-of-life, a comprehensive view of the value chain is established. The largest Scope 3 contributors are identified and quantified:</w:t>
      </w:r>
    </w:p>
    <w:p>
      <w:pPr>
        <w:numPr>
          <w:ilvl w:val="0"/>
          <w:numId w:val="1022"/>
        </w:numPr>
        <w:pStyle w:val="Compact"/>
      </w:pPr>
      <w:r>
        <w:t xml:space="preserve">Raw Material Acquisition &amp; Processing: 10.43 kg CO2e (45.3% of total PCF)</w:t>
      </w:r>
    </w:p>
    <w:p>
      <w:pPr>
        <w:numPr>
          <w:ilvl w:val="0"/>
          <w:numId w:val="1022"/>
        </w:numPr>
        <w:pStyle w:val="Compact"/>
      </w:pPr>
      <w:r>
        <w:t xml:space="preserve">Use Phase: 8.75 kg CO2e (38.0% of total PCF)</w:t>
      </w:r>
    </w:p>
    <w:p>
      <w:pPr>
        <w:numPr>
          <w:ilvl w:val="0"/>
          <w:numId w:val="1022"/>
        </w:numPr>
        <w:pStyle w:val="Compact"/>
      </w:pPr>
      <w:r>
        <w:t xml:space="preserve">Downstream Transportation: 2.868 kg CO2e (12.5% of total PCF)</w:t>
      </w:r>
    </w:p>
    <w:p>
      <w:pPr>
        <w:pStyle w:val="FirstParagraph"/>
      </w:pPr>
      <w:r>
        <w:t xml:space="preserve">These three categories alone account for over 95% of the total PCF, demonstrating robust Scope 3 coverage. Minor indirect emissions, such as business travel or employee commuting, are considered negligible for a product-level PCF when compared to the major material, energy, and transport flows.</w:t>
      </w:r>
    </w:p>
    <w:bookmarkEnd w:id="40"/>
    <w:bookmarkEnd w:id="41"/>
    <w:p>
      <w:r>
        <w:pict>
          <v:rect style="width:0;height:1.5pt" o:hralign="center" o:hrstd="t" o:hr="t"/>
        </w:pict>
      </w:r>
    </w:p>
    <w:bookmarkStart w:id="44"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The primary carbon hotspots for vdmekgevqw are identified as:</w:t>
      </w:r>
    </w:p>
    <w:p>
      <w:pPr>
        <w:numPr>
          <w:ilvl w:val="0"/>
          <w:numId w:val="1023"/>
        </w:numPr>
        <w:pStyle w:val="Compact"/>
      </w:pPr>
      <w:r>
        <w:rPr>
          <w:bCs/>
          <w:b/>
        </w:rPr>
        <w:t xml:space="preserve">Raw Material Acquisition &amp; Processing (Scope 3 Upstream):</w:t>
      </w:r>
      <w:r>
        <w:t xml:space="preserve"> </w:t>
      </w:r>
      <w:r>
        <w:t xml:space="preserve">The production of materials, particularly metals (Aluminum, Copper) and semiconductors, represents the largest single contributor to the product\'s footprint.</w:t>
      </w:r>
    </w:p>
    <w:p>
      <w:pPr>
        <w:numPr>
          <w:ilvl w:val="0"/>
          <w:numId w:val="1023"/>
        </w:numPr>
        <w:pStyle w:val="Compact"/>
      </w:pPr>
      <w:r>
        <w:rPr>
          <w:bCs/>
          <w:b/>
        </w:rPr>
        <w:t xml:space="preserve">Product Use Phase (Scope 3 Downstream):</w:t>
      </w:r>
      <w:r>
        <w:t xml:space="preserve"> </w:t>
      </w:r>
      <w:r>
        <w:t xml:space="preserve">Energy consumption during the product\'s 7-year lifespan is a significant factor, largely dependent on the user\'s electricity grid mix.</w:t>
      </w:r>
    </w:p>
    <w:p>
      <w:pPr>
        <w:numPr>
          <w:ilvl w:val="0"/>
          <w:numId w:val="1023"/>
        </w:numPr>
        <w:pStyle w:val="Compact"/>
      </w:pPr>
      <w:r>
        <w:rPr>
          <w:bCs/>
          <w:b/>
        </w:rPr>
        <w:t xml:space="preserve">Downstream Transportation (Scope 3 Downstream):</w:t>
      </w:r>
      <w:r>
        <w:t xml:space="preserve"> </w:t>
      </w:r>
      <w:r>
        <w:t xml:space="preserve">The last-mile delivery component, in particular, shows a high per-unit impact, emphasizing the need for optimized logistics and efficient delivery networks.</w:t>
      </w:r>
    </w:p>
    <w:bookmarkEnd w:id="42"/>
    <w:bookmarkStart w:id="43" w:name="reliability-and-limitations"/>
    <w:p>
      <w:pPr>
        <w:pStyle w:val="Heading3"/>
      </w:pPr>
      <w:r>
        <w:t xml:space="preserve">5.2 Reliability and Limitations</w:t>
      </w:r>
    </w:p>
    <w:p>
      <w:pPr>
        <w:pStyle w:val="FirstParagraph"/>
      </w:pPr>
      <w:r>
        <w:t xml:space="preserve">The reliability of this PCF analysis is contingent upon the accuracy of the underlying data. Given that several parameters were illustrative assumptions based on placeholder strings, the quantitative results should be interpreted as indicative rather than absolute. For a definitive PCF, primary data from suppliers, manufacturing facilities, and logistics providers would be required.</w:t>
      </w:r>
    </w:p>
    <w:p>
      <w:pPr>
        <w:numPr>
          <w:ilvl w:val="0"/>
          <w:numId w:val="1024"/>
        </w:numPr>
        <w:pStyle w:val="Compact"/>
      </w:pPr>
      <w:r>
        <w:rPr>
          <w:bCs/>
          <w:b/>
        </w:rPr>
        <w:t xml:space="preserve">Data Sources:</w:t>
      </w:r>
      <w:r>
        <w:t xml:space="preserve"> </w:t>
      </w:r>
      <w:r>
        <w:t xml:space="preserve">Illustrative emission factors were derived from typical industry averages (akin to Ecoinvent/DEFRA type databases). Actual emission factors from specific suppliers and energy mixes would enhance accuracy.</w:t>
      </w:r>
    </w:p>
    <w:p>
      <w:pPr>
        <w:numPr>
          <w:ilvl w:val="0"/>
          <w:numId w:val="1024"/>
        </w:numPr>
        <w:pStyle w:val="Compact"/>
      </w:pPr>
      <w:r>
        <w:rPr>
          <w:bCs/>
          <w:b/>
        </w:rPr>
        <w:t xml:space="preserve">System Boundary:</w:t>
      </w:r>
      <w:r>
        <w:t xml:space="preserve"> </w:t>
      </w:r>
      <w:r>
        <w:t xml:space="preserve">While a \'factory_gate\' boundary was defined, illustrative \'cradle-to-grave\' elements were included. A full cradle-to-grave LCA would require more rigorous data collection for all lifecycle stages.</w:t>
      </w:r>
    </w:p>
    <w:p>
      <w:pPr>
        <w:numPr>
          <w:ilvl w:val="0"/>
          <w:numId w:val="1024"/>
        </w:numPr>
        <w:pStyle w:val="Compact"/>
      </w:pPr>
      <w:r>
        <w:rPr>
          <w:bCs/>
          <w:b/>
        </w:rPr>
        <w:t xml:space="preserve">LSR Standard:</w:t>
      </w:r>
      <w:r>
        <w:t xml:space="preserve"> </w:t>
      </w:r>
      <w:r>
        <w:t xml:space="preserve">Application of the LSR Standard for this product was generalized due to the nature of the data. Direct engagement with raw material suppliers regarding land-use practices would be necessary for precise LSR accounting.</w:t>
      </w:r>
    </w:p>
    <w:p>
      <w:pPr>
        <w:numPr>
          <w:ilvl w:val="0"/>
          <w:numId w:val="1024"/>
        </w:numPr>
        <w:pStyle w:val="Compact"/>
      </w:pPr>
      <w:r>
        <w:rPr>
          <w:bCs/>
          <w:b/>
        </w:rPr>
        <w:t xml:space="preserve">Circular Programs:</w:t>
      </w:r>
      <w:r>
        <w:t xml:space="preserve"> </w:t>
      </w:r>
      <w:r>
        <w:t xml:space="preserve">The carbon savings attributed to circular programs are based on an assumed \'avoided burden\' methodology. The actual impact would depend on the efficacy and scale of the \'ydpdjxqnql\' program.</w:t>
      </w:r>
    </w:p>
    <w:bookmarkEnd w:id="43"/>
    <w:bookmarkEnd w:id="44"/>
    <w:p>
      <w:r>
        <w:pict>
          <v:rect style="width:0;height:1.5pt" o:hralign="center" o:hrstd="t" o:hr="t"/>
        </w:pict>
      </w:r>
    </w:p>
    <w:bookmarkStart w:id="45" w:name="recommendations-for-qkeloidgzm"/>
    <w:p>
      <w:pPr>
        <w:pStyle w:val="Heading2"/>
      </w:pPr>
      <w:r>
        <w:t xml:space="preserve">Recommendations for qkeloidgzm</w:t>
      </w:r>
    </w:p>
    <w:p>
      <w:pPr>
        <w:pStyle w:val="FirstParagraph"/>
      </w:pPr>
      <w:r>
        <w:t xml:space="preserve">Based on this analysis,</w:t>
      </w:r>
      <w:r>
        <w:t xml:space="preserve"> </w:t>
      </w:r>
      <w:r>
        <w:rPr>
          <w:bCs/>
          <w:b/>
        </w:rPr>
        <w:t xml:space="preserve">qkeloidgzm</w:t>
      </w:r>
      <w:r>
        <w:t xml:space="preserve"> </w:t>
      </w:r>
      <w:r>
        <w:t xml:space="preserve">can consider the following strategies to reduce the carbon footprint of</w:t>
      </w:r>
      <w:r>
        <w:t xml:space="preserve"> </w:t>
      </w:r>
      <w:r>
        <w:rPr>
          <w:bCs/>
          <w:b/>
        </w:rPr>
        <w:t xml:space="preserve">vdmekgevqw</w:t>
      </w:r>
      <w:r>
        <w:t xml:space="preserve">:</w:t>
      </w:r>
    </w:p>
    <w:p>
      <w:pPr>
        <w:numPr>
          <w:ilvl w:val="0"/>
          <w:numId w:val="1025"/>
        </w:numPr>
        <w:pStyle w:val="Compact"/>
      </w:pPr>
      <w:r>
        <w:rPr>
          <w:bCs/>
          <w:b/>
        </w:rPr>
        <w:t xml:space="preserve">Material Optimization:</w:t>
      </w:r>
      <w:r>
        <w:t xml:space="preserve"> </w:t>
      </w:r>
      <w:r>
        <w:t xml:space="preserve">Focus on reducing the quantity of high-impact materials (e.g., aluminum, semiconductors) or exploring lower-carbon alternatives and increasing recycled content. Engage with suppliers to obtain product-specific EPDs (Environmental Product Declarations) and primary emission data.</w:t>
      </w:r>
    </w:p>
    <w:p>
      <w:pPr>
        <w:numPr>
          <w:ilvl w:val="0"/>
          <w:numId w:val="1025"/>
        </w:numPr>
        <w:pStyle w:val="Compact"/>
      </w:pPr>
      <w:r>
        <w:rPr>
          <w:bCs/>
          <w:b/>
        </w:rPr>
        <w:t xml:space="preserve">Energy Efficiency in Use:</w:t>
      </w:r>
      <w:r>
        <w:t xml:space="preserve"> </w:t>
      </w:r>
      <w:r>
        <w:t xml:space="preserve">Design future iterations of vdmekgevqw for even greater energy efficiency during its operational lifespan to minimize the use phase impact.</w:t>
      </w:r>
    </w:p>
    <w:p>
      <w:pPr>
        <w:numPr>
          <w:ilvl w:val="0"/>
          <w:numId w:val="1025"/>
        </w:numPr>
        <w:pStyle w:val="Compact"/>
      </w:pPr>
      <w:r>
        <w:rPr>
          <w:bCs/>
          <w:b/>
        </w:rPr>
        <w:t xml:space="preserve">Green Logistics:</w:t>
      </w:r>
      <w:r>
        <w:t xml:space="preserve"> </w:t>
      </w:r>
      <w:r>
        <w:t xml:space="preserve">Optimize transportation routes, consider multimodal transport (rail where feasible), and explore partnerships for greener last-mile delivery solutions to mitigate distribution emissions.</w:t>
      </w:r>
    </w:p>
    <w:p>
      <w:pPr>
        <w:numPr>
          <w:ilvl w:val="0"/>
          <w:numId w:val="1025"/>
        </w:numPr>
        <w:pStyle w:val="Compact"/>
      </w:pPr>
      <w:r>
        <w:rPr>
          <w:bCs/>
          <w:b/>
        </w:rPr>
        <w:t xml:space="preserve">Enhance Circularity:</w:t>
      </w:r>
      <w:r>
        <w:t xml:space="preserve"> </w:t>
      </w:r>
      <w:r>
        <w:t xml:space="preserve">Leverage and expand the existing \'ydpdjxqnql\' take-back and refurbishment program to maximize material recovery and reuse, further reducing virgin material demand and EoL impacts.</w:t>
      </w:r>
    </w:p>
    <w:p>
      <w:pPr>
        <w:numPr>
          <w:ilvl w:val="0"/>
          <w:numId w:val="1025"/>
        </w:numPr>
        <w:pStyle w:val="Compact"/>
      </w:pPr>
      <w:r>
        <w:rPr>
          <w:bCs/>
          <w:b/>
        </w:rPr>
        <w:t xml:space="preserve">Supplier Engagement:</w:t>
      </w:r>
      <w:r>
        <w:t xml:space="preserve"> </w:t>
      </w:r>
      <w:r>
        <w:t xml:space="preserve">Work with suppliers, especially those providing high-impact components, to encourage their transition to renewable energy and implement cleaner production processes.</w:t>
      </w:r>
    </w:p>
    <w:bookmarkEnd w:id="45"/>
    <w:p>
      <w:r>
        <w:pict>
          <v:rect style="width:0;height:1.5pt" o:hralign="center" o:hrstd="t" o:hr="t"/>
        </w:pict>
      </w:r>
    </w:p>
    <w:p>
      <w:pPr>
        <w:pStyle w:val="FirstParagraph"/>
      </w:pPr>
      <w:r>
        <w:t xml:space="preserve">Confidential - Internal Use Only | Page 1 of X</w:t>
      </w:r>
    </w:p>
    <w:p>
      <w:pPr>
        <w:pStyle w:val="BodyText"/>
      </w:pPr>
      <w:r>
        <w:t xml:space="preserve">© 2026 qkeloidgzm.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vdmekgevqw</dc:title>
  <dc:creator/>
  <dc:description>Detailed Product Carbon Footprint (PCF) analysis report for product vdmekgevqw, conducted by Senior Sustainability Consultant ruqhqhgvzl for qkeloidgzm, adhering to GHG Protocol standards and 2026 LSR update.</dc:description>
  <dc:language>en</dc:language>
  <cp:keywords/>
  <dcterms:created xsi:type="dcterms:W3CDTF">2026-07-15T08:17:51Z</dcterms:created>
  <dcterms:modified xsi:type="dcterms:W3CDTF">2026-07-15T08:17:51Z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