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uyysimldok</w:t>
      </w:r>
    </w:p>
    <w:bookmarkStart w:id="20" w:name="carboncalcpcf.com"/>
    <w:p>
      <w:pPr>
        <w:pStyle w:val="Heading1"/>
      </w:pPr>
      <w:r>
        <w:t xml:space="preserve">carboncalcpcf.com</w:t>
      </w:r>
    </w:p>
    <w:p>
      <w:pPr>
        <w:pStyle w:val="FirstParagraph"/>
      </w:pPr>
      <w:r>
        <w:rPr>
          <w:bCs/>
          <w:b/>
        </w:rPr>
        <w:t xml:space="preserve">Product Carbon Footprint (PCF) Analysis Report</w:t>
      </w:r>
    </w:p>
    <w:p>
      <w:pPr>
        <w:pStyle w:val="BodyText"/>
      </w:pPr>
      <w:r>
        <w:t xml:space="preserve">For Product:</w:t>
      </w:r>
      <w:r>
        <w:t xml:space="preserve"> </w:t>
      </w:r>
      <w:r>
        <w:rPr>
          <w:bCs/>
          <w:b/>
        </w:rPr>
        <w:t xml:space="preserve">uyysimldok</w:t>
      </w:r>
    </w:p>
    <w:p>
      <w:pPr>
        <w:pStyle w:val="BodyText"/>
      </w:pPr>
      <w:r>
        <w:t xml:space="preserve">Company Name:</w:t>
      </w:r>
      <w:r>
        <w:t xml:space="preserve"> </w:t>
      </w:r>
      <w:r>
        <w:rPr>
          <w:bCs/>
          <w:b/>
        </w:rPr>
        <w:t xml:space="preserve">etnyhrulis</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tvtuzkwseq</w:t>
      </w:r>
    </w:p>
    <w:p>
      <w:pPr>
        <w:pStyle w:val="BodyText"/>
      </w:pPr>
      <w:r>
        <w:t xml:space="preserve">This report is generated based on available data and industry standards. Where specific numerical parameters were provided as generic strings, illustrative values have been used to demonstrate the methodology, with explicit acknowledgment.</w:t>
      </w:r>
    </w:p>
    <w:bookmarkEnd w:id="20"/>
    <w:bookmarkStart w:id="21" w:name="product-carbon-footprint-analysis-report"/>
    <w:p>
      <w:pPr>
        <w:pStyle w:val="Heading1"/>
      </w:pPr>
      <w:r>
        <w:t xml:space="preserve">Product Carbon Footprint Analysis Report</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uyysimldok</w:t>
      </w:r>
      <w:r>
        <w:t xml:space="preserve">, manufactured by</w:t>
      </w:r>
      <w:r>
        <w:t xml:space="preserve"> </w:t>
      </w:r>
      <w:r>
        <w:rPr>
          <w:bCs/>
          <w:b/>
        </w:rPr>
        <w:t xml:space="preserve">etnyhrulis</w:t>
      </w:r>
      <w:r>
        <w:t xml:space="preserve">. The analysis was conducted by</w:t>
      </w:r>
      <w:r>
        <w:t xml:space="preserve"> </w:t>
      </w:r>
      <w:r>
        <w:rPr>
          <w:bCs/>
          <w:b/>
        </w:rPr>
        <w:t xml:space="preserve">tvtuzkwseq</w:t>
      </w:r>
      <w:r>
        <w:t xml:space="preserve">, Senior Sustainability Consultant, in accordance with the Greenhouse Gas (GHG) Protocol Product Life Cycle Accounting and Reporting Standard. The objective is to quantify the greenhouse gas emissions associated with the product\'s lifecycle, identify emission hotspots, and provide a foundation for strategic decarbonization efforts.</w:t>
      </w:r>
    </w:p>
    <w:p>
      <w:pPr>
        <w:pStyle w:val="BodyText"/>
      </w:pPr>
      <w:r>
        <w:t xml:space="preserve">The system boundary for this assessment is \'factory_gate\', focusing primarily on upstream and core production emissions. Illustrative data has been generated for certain parameters provided as generic strings to facilitate a comprehensive demonstration of the methodology as requested.</w:t>
      </w:r>
    </w:p>
    <w:p>
      <w:r>
        <w:pict>
          <v:rect style="width:0;height:1.5pt" o:hralign="center" o:hrstd="t" o:hr="t"/>
        </w:pict>
      </w:r>
    </w:p>
    <w:bookmarkEnd w:id="22"/>
    <w:bookmarkStart w:id="27" w:name="methodology"/>
    <w:p>
      <w:pPr>
        <w:pStyle w:val="Heading2"/>
      </w:pPr>
      <w:r>
        <w:t xml:space="preserve">2. Methodology</w:t>
      </w:r>
    </w:p>
    <w:p>
      <w:pPr>
        <w:pStyle w:val="FirstParagraph"/>
      </w:pPr>
      <w:r>
        <w:t xml:space="preserve">The Product Carbon Footprint (PCF) analysis follows the GHG Protocol Product Life Cycle Accounting and Reporting Standard. The methodology comprises five key steps: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(LCI) stages.</w:t>
      </w:r>
    </w:p>
    <w:p>
      <w:pPr>
        <w:numPr>
          <w:ilvl w:val="0"/>
          <w:numId w:val="1001"/>
        </w:numPr>
        <w:pStyle w:val="Compact"/>
      </w:pPr>
      <w:r>
        <w:rPr>
          <w:bCs/>
          <w:b/>
        </w:rPr>
        <w:t xml:space="preserve">Collect Data:</w:t>
      </w:r>
      <w:r>
        <w:t xml:space="preserve"> </w:t>
      </w:r>
      <w:r>
        <w:t xml:space="preserve">Gathering of primary and secondary data points for all inputs and outputs across the lifecycle.</w:t>
      </w:r>
    </w:p>
    <w:p>
      <w:pPr>
        <w:numPr>
          <w:ilvl w:val="0"/>
          <w:numId w:val="1001"/>
        </w:numPr>
        <w:pStyle w:val="Compact"/>
      </w:pPr>
      <w:r>
        <w:rPr>
          <w:bCs/>
          <w:b/>
        </w:rPr>
        <w:t xml:space="preserve">Calculate Emissions:</w:t>
      </w:r>
      <w:r>
        <w:t xml:space="preserve"> </w:t>
      </w:r>
      <w:r>
        <w:t xml:space="preserve">Quantification of GHG emissions using activity data multiplied by appropriate emission factors.</w:t>
      </w:r>
    </w:p>
    <w:p>
      <w:pPr>
        <w:numPr>
          <w:ilvl w:val="0"/>
          <w:numId w:val="1001"/>
        </w:numPr>
        <w:pStyle w:val="Compact"/>
      </w:pPr>
      <w:r>
        <w:rPr>
          <w:bCs/>
          <w:b/>
        </w:rPr>
        <w:t xml:space="preserve">Review &amp; Report:</w:t>
      </w:r>
      <w:r>
        <w:t xml:space="preserve"> </w:t>
      </w:r>
      <w:r>
        <w:t xml:space="preserve">Analysis of results, identification of hotspots, assessment of reliability, and reporting.</w:t>
      </w:r>
    </w:p>
    <w:bookmarkStart w:id="25" w:name="accounting-standard-and-updates"/>
    <w:p>
      <w:pPr>
        <w:pStyle w:val="Heading3"/>
      </w:pPr>
      <w:r>
        <w:t xml:space="preserve">2.1. Accounting Standard and Updates</w:t>
      </w:r>
    </w:p>
    <w:p>
      <w:pPr>
        <w:pStyle w:val="FirstParagraph"/>
      </w:pPr>
      <w:r>
        <w:t xml:space="preserve">This analysis adheres to the</w:t>
      </w:r>
      <w:r>
        <w:t xml:space="preserve"> </w:t>
      </w:r>
      <w:r>
        <w:rPr>
          <w:bCs/>
          <w:b/>
        </w:rPr>
        <w:t xml:space="preserve">GHG Protocol</w:t>
      </w:r>
      <w:r>
        <w:t xml:space="preserve"> </w:t>
      </w:r>
      <w:r>
        <w:t xml:space="preserve">for categorizing emissions into Scope 1 (direct emissions from owned or controlled sources), Scope 2 (indirect emissions from the generation of purchased energy), and Scope 3 (all other indirect emissions that occur in the value chain).</w:t>
      </w:r>
    </w:p>
    <w:bookmarkStart w:id="23" w:name="X504f4a86e01fdcfa46a4589bb1b5e0cfaad8629"/>
    <w:p>
      <w:pPr>
        <w:pStyle w:val="Heading4"/>
      </w:pPr>
      <w:r>
        <w:t xml:space="preserve">2.1.1. 2026 Land Sector and Removals (LSR) Standard Update</w:t>
      </w:r>
    </w:p>
    <w:p>
      <w:pPr>
        <w:pStyle w:val="FirstParagraph"/>
      </w:pPr>
      <w:r>
        <w:t xml:space="preserve">The GHG Protocol\'s Land Sector and Removals (LSR) Standard, released on January 30, 2026, and effective January 1, 2027, provides crucial requirements for accounting for land sector emissions (e.g., land use change, land management, biogenic products) and CO2 removals. While the \'factory_gate\' system boundary for this PCF limits direct land use considerations, potential upstream impacts from raw material acquisition are acknowledged. The standard is critical for companies with significant land-based activities in their value chain.</w:t>
      </w:r>
    </w:p>
    <w:bookmarkEnd w:id="23"/>
    <w:bookmarkStart w:id="24" w:name="scope-3-compliance-requirements"/>
    <w:p>
      <w:pPr>
        <w:pStyle w:val="Heading4"/>
      </w:pPr>
      <w:r>
        <w:t xml:space="preserve">2.1.2. 2026 Scope 3 Compliance Requirements</w:t>
      </w:r>
    </w:p>
    <w:p>
      <w:pPr>
        <w:pStyle w:val="FirstParagraph"/>
      </w:pPr>
      <w:r>
        <w:t xml:space="preserve">As per the 2026 requirements, a high level of Scope 3 coverage is mandated. The Phase 1 Progress Update to the Scope 3 Standard, published in March 2026, proposes a stringent 95% minimum coverage for *required* Scope 3 emissions (Categories 1-15). Any exclusions up to 5% must be quantified, disclosed, and justified. This report aims for comprehensive Scope 3 coverage to align with these evolving standards. A new Category 16 for "facilitated activities" has also been introduced, though it is often optional for most businesses.</w:t>
      </w:r>
    </w:p>
    <w:bookmarkEnd w:id="24"/>
    <w:bookmarkEnd w:id="25"/>
    <w:bookmarkStart w:id="26" w:name="defined-scope-parameters"/>
    <w:p>
      <w:pPr>
        <w:pStyle w:val="Heading3"/>
      </w:pPr>
      <w:r>
        <w:t xml:space="preserve">2.2. Defined Scope Parameters</w:t>
      </w:r>
    </w:p>
    <w:p>
      <w:pPr>
        <w:numPr>
          <w:ilvl w:val="0"/>
          <w:numId w:val="1002"/>
        </w:numPr>
        <w:pStyle w:val="Compact"/>
      </w:pPr>
      <w:r>
        <w:rPr>
          <w:bCs/>
          <w:b/>
        </w:rPr>
        <w:t xml:space="preserve">Functional Unit:</w:t>
      </w:r>
      <w:r>
        <w:t xml:space="preserve"> </w:t>
      </w:r>
      <w:r>
        <w:t xml:space="preserve">1.0 unit of uyysimldok</w:t>
      </w:r>
    </w:p>
    <w:p>
      <w:pPr>
        <w:numPr>
          <w:ilvl w:val="0"/>
          <w:numId w:val="1002"/>
        </w:numPr>
        <w:pStyle w:val="Compact"/>
      </w:pPr>
      <w:r>
        <w:rPr>
          <w:bCs/>
          <w:b/>
        </w:rPr>
        <w:t xml:space="preserve">System Boundary:</w:t>
      </w:r>
      <w:r>
        <w:t xml:space="preserve"> </w:t>
      </w:r>
      <w:r>
        <w:t xml:space="preserve">factory_gate (cradle-to-gate)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Allocation:</w:t>
      </w:r>
      <w:r>
        <w:t xml:space="preserve"> </w:t>
      </w:r>
      <w:r>
        <w:t xml:space="preserve">Mass-based allocation, where applicable, for co-products and by-products in multi-output processes, adhering to GHG Protocol guidance.</w:t>
      </w:r>
    </w:p>
    <w:p>
      <w:r>
        <w:pict>
          <v:rect style="width:0;height:1.5pt" o:hralign="center" o:hrstd="t" o:hr="t"/>
        </w:pict>
      </w:r>
    </w:p>
    <w:bookmarkEnd w:id="26"/>
    <w:bookmarkEnd w:id="27"/>
    <w:bookmarkStart w:id="31" w:name="lifecycle-mapping-and-data-collection"/>
    <w:p>
      <w:pPr>
        <w:pStyle w:val="Heading2"/>
      </w:pPr>
      <w:r>
        <w:t xml:space="preserve">3. Lifecycle Mapping and Data Collection</w:t>
      </w:r>
    </w:p>
    <w:p>
      <w:pPr>
        <w:pStyle w:val="FirstParagraph"/>
      </w:pPr>
      <w:r>
        <w:t xml:space="preserve">The lifecycle of uyysimldok, under a \'factory_gate\' system boundary, encompasses raw material acquisition, manufacturing, and transport to the factory gate. For a complete cradle-to-grave assessment, the use phase and end-of-life would also be included. For this report, illustrative data is used for parameters provided as generic string placeholders.</w:t>
      </w:r>
    </w:p>
    <w:bookmarkStart w:id="28" w:name="X5f6c83adfbeb212fa94b8fcafc4c254cd4c2192"/>
    <w:p>
      <w:pPr>
        <w:pStyle w:val="Heading3"/>
      </w:pPr>
      <w:r>
        <w:t xml:space="preserve">3.1. Detailed Bill of Materials (BOM) Analysis - Scope 3 (Category 1: Purchased Goods and Services)</w:t>
      </w:r>
    </w:p>
    <w:p>
      <w:pPr>
        <w:pStyle w:val="FirstParagraph"/>
      </w:pPr>
      <w:r>
        <w:t xml:space="preserve">The detailed Bill of Materials (BOM) for uyysimldok (originally provided as `vqkfldui`) has been interpreted to contain the following illustrative material data. This data is critical for high-accuracy material impact calculation, moving beyond default estimates. Emission factors are derived from industry-standard sources like Ecoinvent and DEFRA, or are specifically provided as part of the illustrative BOM data.</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2.50</w:t>
            </w:r>
            <w:r>
              <w:t xml:space="preserve"> </w:t>
            </w:r>
            <w:r>
              <w:rPr>
                <w:iCs/>
                <w:i/>
              </w:rPr>
              <w:t xml:space="preserve">(Illustrative, Ecoinvent reference for process)</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15.00</w:t>
            </w:r>
            <w:r>
              <w:t xml:space="preserve"> </w:t>
            </w:r>
            <w:r>
              <w:rPr>
                <w:iCs/>
                <w:i/>
              </w:rPr>
              <w:t xml:space="preserve">(Illustrative, DEFRA reference for electronics)</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4.00</w:t>
            </w:r>
            <w:r>
              <w:t xml:space="preserve"> </w:t>
            </w:r>
            <w:r>
              <w:rPr>
                <w:iCs/>
                <w:i/>
              </w:rPr>
              <w:t xml:space="preserve">(Illustrative, Ecoinvent reference for metals)</w:t>
            </w:r>
          </w:p>
        </w:tc>
        <w:tc>
          <w:tcPr/>
          <w:p>
            <w:pPr>
              <w:pStyle w:val="Compact"/>
              <w:jc w:val="left"/>
            </w:pPr>
            <w:r>
              <w:t xml:space="preserve">0.04</w:t>
            </w:r>
          </w:p>
        </w:tc>
      </w:tr>
      <w:tr>
        <w:tc>
          <w:tcPr/>
          <w:p>
            <w:pPr>
              <w:pStyle w:val="Compact"/>
              <w:jc w:val="left"/>
            </w:pPr>
            <w:r>
              <w:t xml:space="preserve">M004</w:t>
            </w:r>
          </w:p>
        </w:tc>
        <w:tc>
          <w:tcPr/>
          <w:p>
            <w:pPr>
              <w:pStyle w:val="Compact"/>
              <w:jc w:val="left"/>
            </w:pPr>
            <w:r>
              <w:t xml:space="preserve">Battery (Li-ion)</w:t>
            </w:r>
          </w:p>
        </w:tc>
        <w:tc>
          <w:tcPr/>
          <w:p>
            <w:pPr>
              <w:pStyle w:val="Compact"/>
              <w:jc w:val="left"/>
            </w:pPr>
            <w:r>
              <w:t xml:space="preserve">Chemicals/Battery</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10.00</w:t>
            </w:r>
            <w:r>
              <w:t xml:space="preserve"> </w:t>
            </w:r>
            <w:r>
              <w:rPr>
                <w:iCs/>
                <w:i/>
              </w:rPr>
              <w:t xml:space="preserve">(Illustrative, Ecoinvent reference for Li-ion battery production)</w:t>
            </w:r>
          </w:p>
        </w:tc>
        <w:tc>
          <w:tcPr/>
          <w:p>
            <w:pPr>
              <w:pStyle w:val="Compact"/>
              <w:jc w:val="left"/>
            </w:pPr>
            <w:r>
              <w:t xml:space="preserve">0.30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Production</w:t>
            </w:r>
          </w:p>
        </w:tc>
        <w:tc>
          <w:tcPr/>
          <w:p>
            <w:pPr>
              <w:pStyle w:val="Compact"/>
              <w:jc w:val="left"/>
            </w:pPr>
            <w:r>
              <w:t xml:space="preserve">0.10</w:t>
            </w:r>
          </w:p>
        </w:tc>
        <w:tc>
          <w:tcPr/>
          <w:p>
            <w:pPr>
              <w:pStyle w:val="Compact"/>
              <w:jc w:val="left"/>
            </w:pPr>
            <w:r>
              <w:t xml:space="preserve">1.20</w:t>
            </w:r>
            <w:r>
              <w:t xml:space="preserve"> </w:t>
            </w:r>
            <w:r>
              <w:rPr>
                <w:iCs/>
                <w:i/>
              </w:rPr>
              <w:t xml:space="preserve">(Illustrative, DEFRA reference for cardboard production)</w:t>
            </w:r>
          </w:p>
        </w:tc>
        <w:tc>
          <w:tcPr/>
          <w:p>
            <w:pPr>
              <w:pStyle w:val="Compact"/>
              <w:jc w:val="left"/>
            </w:pPr>
            <w:r>
              <w:t xml:space="preserve">0.12</w:t>
            </w:r>
          </w:p>
        </w:tc>
      </w:tr>
    </w:tbl>
    <w:p>
      <w:pPr>
        <w:pStyle w:val="BodyText"/>
      </w:pPr>
      <w:r>
        <w:rPr>
          <w:iCs/>
          <w:i/>
        </w:rPr>
        <w:t xml:space="preserve">Note: The "Emission Factor" and "Total Carbon" values in the table above are illustrative, derived from the placeholder `vqkfldui` as instructed, to demonstrate how specific values would be used in calculation. Actual emission factors would be sourced from databases like Ecoinvent or DEFRA for real-world analysis.</w:t>
      </w:r>
    </w:p>
    <w:bookmarkEnd w:id="28"/>
    <w:bookmarkStart w:id="29" w:name="X4788605967ba70ecd82106fef7374764f2a870e"/>
    <w:p>
      <w:pPr>
        <w:pStyle w:val="Heading3"/>
      </w:pPr>
      <w:r>
        <w:t xml:space="preserve">3.2. Energy Inputs for Production - Scope 2 (Purchased Electricity) &amp; Scope 1 (Direct Emissions)</w:t>
      </w:r>
    </w:p>
    <w:p>
      <w:pPr>
        <w:pStyle w:val="FirstParagraph"/>
      </w:pPr>
      <w:r>
        <w:t xml:space="preserve">Production of uyysimldok takes place in China. Energy consumption is a significant contributor to the carbon footprint. The provided parameters for energy customization were `ewxxjmgoul` for Renewable Energy Usage and `telqtjlmlt` for Energy Intensity. Illustrative values are used here.</w:t>
      </w:r>
    </w:p>
    <w:p>
      <w:pPr>
        <w:numPr>
          <w:ilvl w:val="0"/>
          <w:numId w:val="1003"/>
        </w:numPr>
        <w:pStyle w:val="Compact"/>
      </w:pPr>
      <w:r>
        <w:rPr>
          <w:bCs/>
          <w:b/>
        </w:rPr>
        <w:t xml:space="preserve">Energy Intensity (kWh/unit):</w:t>
      </w:r>
      <w:r>
        <w:t xml:space="preserve"> </w:t>
      </w:r>
      <w:r>
        <w:t xml:space="preserve">1.5 kWh/unit</w:t>
      </w:r>
      <w:r>
        <w:t xml:space="preserve"> </w:t>
      </w:r>
      <w:r>
        <w:rPr>
          <w:iCs/>
          <w:i/>
        </w:rPr>
        <w:t xml:space="preserve">(Illustrative, derived from `telqtjlmlt`)</w:t>
      </w:r>
    </w:p>
    <w:p>
      <w:pPr>
        <w:numPr>
          <w:ilvl w:val="0"/>
          <w:numId w:val="1003"/>
        </w:numPr>
        <w:pStyle w:val="Compact"/>
      </w:pPr>
      <w:r>
        <w:rPr>
          <w:bCs/>
          <w:b/>
        </w:rPr>
        <w:t xml:space="preserve">Renewable Energy Usage:</w:t>
      </w:r>
      <w:r>
        <w:t xml:space="preserve"> </w:t>
      </w:r>
      <w:r>
        <w:t xml:space="preserve">60%</w:t>
      </w:r>
      <w:r>
        <w:t xml:space="preserve"> </w:t>
      </w:r>
      <w:r>
        <w:rPr>
          <w:iCs/>
          <w:i/>
        </w:rPr>
        <w:t xml:space="preserve">(Illustrative, derived from `ewxxjmgoul`)</w:t>
      </w:r>
    </w:p>
    <w:p>
      <w:pPr>
        <w:numPr>
          <w:ilvl w:val="0"/>
          <w:numId w:val="1003"/>
        </w:numPr>
        <w:pStyle w:val="Compact"/>
      </w:pPr>
      <w:r>
        <w:rPr>
          <w:bCs/>
          <w:b/>
        </w:rPr>
        <w:t xml:space="preserve">Grid Electricity Emission Factor (China):</w:t>
      </w:r>
      <w:r>
        <w:t xml:space="preserve"> </w:t>
      </w:r>
      <w:r>
        <w:t xml:space="preserve">For the remaining 40% non-renewable energy. China\'s national average electricity carbon footprint factor for 2023 is 0.6205 kgCO2e/kWh. We will use an illustrative factor of 0.60 kgCO2e/kWh for calculation purposes for the non-renewable portion.</w:t>
      </w:r>
    </w:p>
    <w:p>
      <w:pPr>
        <w:pStyle w:val="FirstParagraph"/>
      </w:pPr>
      <w:r>
        <w:rPr>
          <w:iCs/>
          <w:i/>
        </w:rPr>
        <w:t xml:space="preserve">Direct emissions (Scope 1) from on-site fuel combustion are assumed negligible for this illustrative \'factory_gate\' boundary, focusing on purchased electricity as the primary energy input.</w:t>
      </w:r>
    </w:p>
    <w:bookmarkEnd w:id="29"/>
    <w:bookmarkStart w:id="30" w:name="X8de323ab3ea1f2c6f4b8b88e034a0ab35f44ec6"/>
    <w:p>
      <w:pPr>
        <w:pStyle w:val="Heading3"/>
      </w:pPr>
      <w:r>
        <w:t xml:space="preserve">3.3. Transport and Logistics - Scope 3 (Category 4: Upstream Transportation and Distribution)</w:t>
      </w:r>
    </w:p>
    <w:p>
      <w:pPr>
        <w:pStyle w:val="FirstParagraph"/>
      </w:pPr>
      <w:r>
        <w:t xml:space="preserve">Logistics plays a critical role in the overall carbon footprint. The provided parameters were `Select Mode` for Transport Mode, `hjoxjpgkrt` for Transport Distance, and `Delivery Type` for Last-Mile Delivery Channel. Illustrative values are used here.</w:t>
      </w:r>
    </w:p>
    <w:p>
      <w:pPr>
        <w:numPr>
          <w:ilvl w:val="0"/>
          <w:numId w:val="1004"/>
        </w:numPr>
        <w:pStyle w:val="Compact"/>
      </w:pPr>
      <w:r>
        <w:rPr>
          <w:bCs/>
          <w:b/>
        </w:rPr>
        <w:t xml:space="preserve">Main Transport Mode:</w:t>
      </w:r>
      <w:r>
        <w:t xml:space="preserve"> </w:t>
      </w:r>
      <w:r>
        <w:t xml:space="preserve">Road freight (Heavy Goods Vehicle - HGV)</w:t>
      </w:r>
      <w:r>
        <w:t xml:space="preserve"> </w:t>
      </w:r>
      <w:r>
        <w:rPr>
          <w:iCs/>
          <w:i/>
        </w:rPr>
        <w:t xml:space="preserve">(Illustrative, derived from `Select Mode`)</w:t>
      </w:r>
    </w:p>
    <w:p>
      <w:pPr>
        <w:numPr>
          <w:ilvl w:val="0"/>
          <w:numId w:val="1004"/>
        </w:numPr>
        <w:pStyle w:val="Compact"/>
      </w:pPr>
      <w:r>
        <w:rPr>
          <w:bCs/>
          <w:b/>
        </w:rPr>
        <w:t xml:space="preserve">Main Transport Distance (Raw materials/components to China, and from China to Europe):</w:t>
      </w:r>
      <w:r>
        <w:t xml:space="preserve"> </w:t>
      </w:r>
      <w:r>
        <w:t xml:space="preserve">1500 km</w:t>
      </w:r>
      <w:r>
        <w:t xml:space="preserve"> </w:t>
      </w:r>
      <w:r>
        <w:rPr>
          <w:iCs/>
          <w:i/>
        </w:rPr>
        <w:t xml:space="preserve">(Illustrative, derived from `hjoxjpgkrt`)</w:t>
      </w:r>
    </w:p>
    <w:p>
      <w:pPr>
        <w:numPr>
          <w:ilvl w:val="0"/>
          <w:numId w:val="1004"/>
        </w:numPr>
        <w:pStyle w:val="Compact"/>
      </w:pPr>
      <w:r>
        <w:rPr>
          <w:bCs/>
          <w:b/>
        </w:rPr>
        <w:t xml:space="preserve">Last-Mile Delivery Channel (Europe):</w:t>
      </w:r>
      <w:r>
        <w:t xml:space="preserve"> </w:t>
      </w:r>
      <w:r>
        <w:t xml:space="preserve">Parcel delivery (van)</w:t>
      </w:r>
      <w:r>
        <w:t xml:space="preserve"> </w:t>
      </w:r>
      <w:r>
        <w:rPr>
          <w:iCs/>
          <w:i/>
        </w:rPr>
        <w:t xml:space="preserve">(Illustrative, derived from `Delivery Type`)</w:t>
      </w:r>
    </w:p>
    <w:p>
      <w:pPr>
        <w:numPr>
          <w:ilvl w:val="0"/>
          <w:numId w:val="1004"/>
        </w:numPr>
        <w:pStyle w:val="Compact"/>
      </w:pPr>
      <w:r>
        <w:rPr>
          <w:bCs/>
          <w:b/>
        </w:rPr>
        <w:t xml:space="preserve">Illustrative Emission Factor for Road Freight (HGV, Europe-focused):</w:t>
      </w:r>
      <w:r>
        <w:t xml:space="preserve"> </w:t>
      </w:r>
      <w:r>
        <w:t xml:space="preserve">0.092 kgCO2e/tonne-km (GLEC, &gt;20t HGV)</w:t>
      </w:r>
    </w:p>
    <w:p>
      <w:pPr>
        <w:numPr>
          <w:ilvl w:val="0"/>
          <w:numId w:val="1004"/>
        </w:numPr>
        <w:pStyle w:val="Compact"/>
      </w:pPr>
      <w:r>
        <w:rPr>
          <w:bCs/>
          <w:b/>
        </w:rPr>
        <w:t xml:space="preserve">Illustrative Emission Factor for Last-Mile Delivery (Van):</w:t>
      </w:r>
      <w:r>
        <w:t xml:space="preserve"> </w:t>
      </w:r>
      <w:r>
        <w:t xml:space="preserve">0.25 kgCO2e/km (derived from DEFRA/BEIS data for average van)</w:t>
      </w:r>
    </w:p>
    <w:p>
      <w:pPr>
        <w:pStyle w:val="FirstParagraph"/>
      </w:pPr>
      <w:r>
        <w:rPr>
          <w:iCs/>
          <w:i/>
        </w:rPr>
        <w:t xml:space="preserve">For the purpose of calculation, an illustrative product weight of 0.5 kg (sum of BOM items) is used to estimate the impact of transport for the finished product. Raw material transport is captured within the BOM emission factors in the illustrative scenario.</w:t>
      </w:r>
    </w:p>
    <w:p>
      <w:r>
        <w:pict>
          <v:rect style="width:0;height:1.5pt" o:hralign="center" o:hrstd="t" o:hr="t"/>
        </w:pict>
      </w:r>
    </w:p>
    <w:bookmarkEnd w:id="30"/>
    <w:bookmarkEnd w:id="31"/>
    <w:bookmarkStart w:id="38" w:name="emissions-calculation-illustrative"/>
    <w:p>
      <w:pPr>
        <w:pStyle w:val="Heading2"/>
      </w:pPr>
      <w:r>
        <w:t xml:space="preserve">4. Emissions Calculation (Illustrative)</w:t>
      </w:r>
    </w:p>
    <w:p>
      <w:pPr>
        <w:pStyle w:val="FirstParagraph"/>
      </w:pPr>
      <w:r>
        <w:t xml:space="preserve">Emissions are calculated using the formula: Activity Data × Emission Factor = CO2e. The following calculations are based on the illustrative data outlined in Section 3.</w:t>
      </w:r>
    </w:p>
    <w:bookmarkStart w:id="32" w:name="X0d701d75b8dc221c76d9b06dff9bba7dc6c35cc"/>
    <w:p>
      <w:pPr>
        <w:pStyle w:val="Heading3"/>
      </w:pPr>
      <w:r>
        <w:t xml:space="preserve">4.1. Material Acquisition &amp; Processing (BOM) - Scope 3 (Category 1)</w:t>
      </w:r>
    </w:p>
    <w:p>
      <w:pPr>
        <w:pStyle w:val="FirstParagraph"/>
      </w:pPr>
      <w:r>
        <w:t xml:space="preserve">Based on the illustrative BOM, the total carbon impact from materials is the sum of the \'Total Carbon\' column.</w:t>
      </w:r>
    </w:p>
    <w:p>
      <w:pPr>
        <w:pStyle w:val="BodyText"/>
      </w:pPr>
      <w:r>
        <w:t xml:space="preserve">Total Material Emissions = 0.50 kgCO2e (Plastic Casing) + 0.75 kgCO2e (Circuit Board) + 0.04 kgCO2e (Copper Wire) + 0.30 kgCO2e (Battery) + 0.12 kgCO2e (Packaging)</w:t>
      </w:r>
    </w:p>
    <w:p>
      <w:pPr>
        <w:pStyle w:val="BodyText"/>
      </w:pPr>
      <w:r>
        <w:rPr>
          <w:bCs/>
          <w:b/>
        </w:rPr>
        <w:t xml:space="preserve">Total Material Emissions = 1.71 kg CO2e per unit uyysimldok</w:t>
      </w:r>
    </w:p>
    <w:bookmarkEnd w:id="32"/>
    <w:bookmarkStart w:id="33" w:name="X90537c4e9e490d57227eb0cb3fb1bbb5071af0d"/>
    <w:p>
      <w:pPr>
        <w:pStyle w:val="Heading3"/>
      </w:pPr>
      <w:r>
        <w:t xml:space="preserve">4.2. Manufacturing Energy - Scope 2 (Purchased Electricity)</w:t>
      </w:r>
    </w:p>
    <w:p>
      <w:pPr>
        <w:numPr>
          <w:ilvl w:val="0"/>
          <w:numId w:val="1005"/>
        </w:numPr>
        <w:pStyle w:val="Compact"/>
      </w:pPr>
      <w:r>
        <w:t xml:space="preserve">Total Energy Consumption: 1.5 kWh/unit</w:t>
      </w:r>
      <w:r>
        <w:t xml:space="preserve"> </w:t>
      </w:r>
      <w:r>
        <w:rPr>
          <w:iCs/>
          <w:i/>
        </w:rPr>
        <w:t xml:space="preserve">(Illustrative)</w:t>
      </w:r>
    </w:p>
    <w:p>
      <w:pPr>
        <w:numPr>
          <w:ilvl w:val="0"/>
          <w:numId w:val="1005"/>
        </w:numPr>
        <w:pStyle w:val="Compact"/>
      </w:pPr>
      <w:r>
        <w:t xml:space="preserve">Renewable Energy Portion: 1.5 kWh/unit × 60% = 0.9 kWh/unit (0 kgCO2e for this portion, assuming zero-emission renewable sources)</w:t>
      </w:r>
    </w:p>
    <w:p>
      <w:pPr>
        <w:numPr>
          <w:ilvl w:val="0"/>
          <w:numId w:val="1005"/>
        </w:numPr>
        <w:pStyle w:val="Compact"/>
      </w:pPr>
      <w:r>
        <w:t xml:space="preserve">Non-Renewable Energy Portion: 1.5 kWh/unit × 40% = 0.6 kWh/unit</w:t>
      </w:r>
    </w:p>
    <w:p>
      <w:pPr>
        <w:numPr>
          <w:ilvl w:val="0"/>
          <w:numId w:val="1005"/>
        </w:numPr>
        <w:pStyle w:val="Compact"/>
      </w:pPr>
      <w:r>
        <w:t xml:space="preserve">Emissions from Non-Renewable Energy: 0.6 kWh/unit × 0.60 kgCO2e/kWh (China grid mix illustrative) = 0.36 kgCO2e/unit</w:t>
      </w:r>
    </w:p>
    <w:p>
      <w:pPr>
        <w:pStyle w:val="FirstParagraph"/>
      </w:pPr>
      <w:r>
        <w:rPr>
          <w:bCs/>
          <w:b/>
        </w:rPr>
        <w:t xml:space="preserve">Total Manufacturing Energy Emissions (Scope 2) = 0.36 kg CO2e per unit uyysimldok</w:t>
      </w:r>
    </w:p>
    <w:bookmarkEnd w:id="33"/>
    <w:bookmarkStart w:id="34" w:name="X98929b1815c9ccdefa433de9c2c02633419a1b4"/>
    <w:p>
      <w:pPr>
        <w:pStyle w:val="Heading3"/>
      </w:pPr>
      <w:r>
        <w:t xml:space="preserve">4.3. Transport to Factory Gate - Scope 3 (Category 4)</w:t>
      </w:r>
    </w:p>
    <w:p>
      <w:pPr>
        <w:pStyle w:val="FirstParagraph"/>
      </w:pPr>
      <w:r>
        <w:t xml:space="preserve">For the \'factory_gate\' boundary, this typically covers inbound logistics of raw materials and components, which for simplicity in this illustrative example, are assumed to be largely embedded in the material EFs. However, if considering the transport of the final product *from* China *to* a distribution hub in Europe (before final last-mile delivery, which is outside \'factory_gate\' but included for context in the parameters), an illustrative calculation can be shown.</w:t>
      </w:r>
    </w:p>
    <w:p>
      <w:pPr>
        <w:pStyle w:val="BodyText"/>
      </w:pPr>
      <w:r>
        <w:t xml:space="preserve">Assuming an illustrative finished product weight of 0.5 kg for uyysimldok and a transport distance of 1500 km (e.g., from China to a European hub, simplified as road freight for this example due to `Select Mode` placeholder and `Europe Focused` supply chain for context).</w:t>
      </w:r>
    </w:p>
    <w:p>
      <w:pPr>
        <w:numPr>
          <w:ilvl w:val="0"/>
          <w:numId w:val="1006"/>
        </w:numPr>
        <w:pStyle w:val="Compact"/>
      </w:pPr>
      <w:r>
        <w:t xml:space="preserve">Illustrative Product Weight: 0.5 kg = 0.0005 tonnes</w:t>
      </w:r>
    </w:p>
    <w:p>
      <w:pPr>
        <w:numPr>
          <w:ilvl w:val="0"/>
          <w:numId w:val="1006"/>
        </w:numPr>
        <w:pStyle w:val="Compact"/>
      </w:pPr>
      <w:r>
        <w:t xml:space="preserve">Illustrative Transport Distance: 1500 km</w:t>
      </w:r>
    </w:p>
    <w:p>
      <w:pPr>
        <w:numPr>
          <w:ilvl w:val="0"/>
          <w:numId w:val="1006"/>
        </w:numPr>
        <w:pStyle w:val="Compact"/>
      </w:pPr>
      <w:r>
        <w:t xml:space="preserve">Illustrative Road Freight Emission Factor: 0.092 kgCO2e/tonne-km</w:t>
      </w:r>
    </w:p>
    <w:p>
      <w:pPr>
        <w:pStyle w:val="FirstParagraph"/>
      </w:pPr>
      <w:r>
        <w:t xml:space="preserve">Emissions = 0.0005 tonnes × 1500 km × 0.092 kgCO2e/tonne-km = 0.069 kgCO2e/unit</w:t>
      </w:r>
    </w:p>
    <w:p>
      <w:pPr>
        <w:pStyle w:val="BodyText"/>
      </w:pPr>
      <w:r>
        <w:rPr>
          <w:bCs/>
          <w:b/>
        </w:rPr>
        <w:t xml:space="preserve">Total Transport to Factory Gate Emissions (Scope 3) = 0.069 kg CO2e per unit uyysimldok</w:t>
      </w:r>
    </w:p>
    <w:bookmarkEnd w:id="34"/>
    <w:bookmarkStart w:id="35" w:name="Xe102006579a7ae7fd205b96b2dc44b30fb4b437"/>
    <w:p>
      <w:pPr>
        <w:pStyle w:val="Heading3"/>
      </w:pPr>
      <w:r>
        <w:t xml:space="preserve">4.4. Use Phase - Scope 3 (Category 11: Use of Sold Products)</w:t>
      </w:r>
    </w:p>
    <w:p>
      <w:pPr>
        <w:pStyle w:val="FirstParagraph"/>
      </w:pPr>
      <w:r>
        <w:t xml:space="preserve">Although the system boundary is \'factory_gate\', the prompt explicitly requests expanding the \'Use Phase\' calculation. The provided parameters were `ygqxfuxxet` for Product Lifespan and `yutqmqgluu` for Energy Consumption in Use. Illustrative values are used here.</w:t>
      </w:r>
    </w:p>
    <w:p>
      <w:pPr>
        <w:numPr>
          <w:ilvl w:val="0"/>
          <w:numId w:val="1007"/>
        </w:numPr>
        <w:pStyle w:val="Compact"/>
      </w:pPr>
      <w:r>
        <w:rPr>
          <w:bCs/>
          <w:b/>
        </w:rPr>
        <w:t xml:space="preserve">Product Lifespan:</w:t>
      </w:r>
      <w:r>
        <w:t xml:space="preserve"> </w:t>
      </w:r>
      <w:r>
        <w:t xml:space="preserve">5 years</w:t>
      </w:r>
      <w:r>
        <w:t xml:space="preserve"> </w:t>
      </w:r>
      <w:r>
        <w:rPr>
          <w:iCs/>
          <w:i/>
        </w:rPr>
        <w:t xml:space="preserve">(Illustrative, derived from `ygqxfuxxet`)</w:t>
      </w:r>
    </w:p>
    <w:p>
      <w:pPr>
        <w:numPr>
          <w:ilvl w:val="0"/>
          <w:numId w:val="1007"/>
        </w:numPr>
        <w:pStyle w:val="Compact"/>
      </w:pPr>
      <w:r>
        <w:rPr>
          <w:bCs/>
          <w:b/>
        </w:rPr>
        <w:t xml:space="preserve">Energy Consumption in Use:</w:t>
      </w:r>
      <w:r>
        <w:t xml:space="preserve"> </w:t>
      </w:r>
      <w:r>
        <w:t xml:space="preserve">5 kWh/year</w:t>
      </w:r>
      <w:r>
        <w:t xml:space="preserve"> </w:t>
      </w:r>
      <w:r>
        <w:rPr>
          <w:iCs/>
          <w:i/>
        </w:rPr>
        <w:t xml:space="preserve">(Illustrative, derived from `yutqmqgluu`)</w:t>
      </w:r>
    </w:p>
    <w:p>
      <w:pPr>
        <w:numPr>
          <w:ilvl w:val="0"/>
          <w:numId w:val="1007"/>
        </w:numPr>
        <w:pStyle w:val="Compact"/>
      </w:pPr>
      <w:r>
        <w:rPr>
          <w:bCs/>
          <w:b/>
        </w:rPr>
        <w:t xml:space="preserve">Illustrative Electricity Emission Factor (European Use):</w:t>
      </w:r>
      <w:r>
        <w:t xml:space="preserve"> </w:t>
      </w:r>
      <w:r>
        <w:t xml:space="preserve">0.255 kgCO2/kWh (EU average 2022)</w:t>
      </w:r>
    </w:p>
    <w:p>
      <w:pPr>
        <w:pStyle w:val="FirstParagraph"/>
      </w:pPr>
      <w:r>
        <w:t xml:space="preserve">Total Energy Consumption over Lifespan = 5 kWh/year × 5 years = 25 kWh/unit</w:t>
      </w:r>
    </w:p>
    <w:p>
      <w:pPr>
        <w:pStyle w:val="BodyText"/>
      </w:pPr>
      <w:r>
        <w:t xml:space="preserve">Emissions from Use Phase = 25 kWh/unit × 0.255 kgCO2/kWh = 6.375 kgCO2e/unit</w:t>
      </w:r>
    </w:p>
    <w:p>
      <w:pPr>
        <w:pStyle w:val="BodyText"/>
      </w:pPr>
      <w:r>
        <w:rPr>
          <w:bCs/>
          <w:b/>
        </w:rPr>
        <w:t xml:space="preserve">Total Use Phase Emissions (Scope 3) = 6.38 kg CO2e per unit uyysimldok</w:t>
      </w:r>
    </w:p>
    <w:bookmarkEnd w:id="35"/>
    <w:bookmarkStart w:id="36" w:name="X32a82b5aa783cfa9caf6a819bb830977450a846"/>
    <w:p>
      <w:pPr>
        <w:pStyle w:val="Heading3"/>
      </w:pPr>
      <w:r>
        <w:t xml:space="preserve">4.5. End-of-Life (EoL) Scenarios - Scope 3 (Category 12: End-of-Life Treatment of Sold Products)</w:t>
      </w:r>
    </w:p>
    <w:p>
      <w:pPr>
        <w:pStyle w:val="FirstParagraph"/>
      </w:pPr>
      <w:r>
        <w:t xml:space="preserve">The provided parameters were `ewosugvwvj` for Recyclability Percentage and `elxtdxhzud` for Circular/Take-back Programs. Illustrative values are used here.</w:t>
      </w:r>
    </w:p>
    <w:p>
      <w:pPr>
        <w:numPr>
          <w:ilvl w:val="0"/>
          <w:numId w:val="1008"/>
        </w:numPr>
        <w:pStyle w:val="Compact"/>
      </w:pPr>
      <w:r>
        <w:rPr>
          <w:bCs/>
          <w:b/>
        </w:rPr>
        <w:t xml:space="preserve">Recyclability Percentage:</w:t>
      </w:r>
      <w:r>
        <w:t xml:space="preserve"> </w:t>
      </w:r>
      <w:r>
        <w:t xml:space="preserve">70%</w:t>
      </w:r>
      <w:r>
        <w:t xml:space="preserve"> </w:t>
      </w:r>
      <w:r>
        <w:rPr>
          <w:iCs/>
          <w:i/>
        </w:rPr>
        <w:t xml:space="preserve">(Illustrative, derived from `ewosugvwvj`)</w:t>
      </w:r>
    </w:p>
    <w:p>
      <w:pPr>
        <w:numPr>
          <w:ilvl w:val="0"/>
          <w:numId w:val="1008"/>
        </w:numPr>
        <w:pStyle w:val="Compact"/>
      </w:pPr>
      <w:r>
        <w:rPr>
          <w:bCs/>
          <w:b/>
        </w:rPr>
        <w:t xml:space="preserve">Circular/Take-back Programs:</w:t>
      </w:r>
      <w:r>
        <w:t xml:space="preserve"> </w:t>
      </w:r>
      <w:r>
        <w:t xml:space="preserve">Yes, with an illustrative assumption that 20% of the non-recycled portion is refurbished.</w:t>
      </w:r>
      <w:r>
        <w:t xml:space="preserve"> </w:t>
      </w:r>
      <w:r>
        <w:rPr>
          <w:iCs/>
          <w:i/>
        </w:rPr>
        <w:t xml:space="preserve">(Illustrative, derived from `elxtdxhzud`)</w:t>
      </w:r>
    </w:p>
    <w:p>
      <w:pPr>
        <w:pStyle w:val="FirstParagraph"/>
      </w:pPr>
      <w:r>
        <w:t xml:space="preserve">For EoL calculations, the impact often considers avoided emissions from recycling or burdens from landfill/incineration. Given the \'factory_gate\' boundary, this is outside the primary scope but is included for a holistic view as requested.</w:t>
      </w:r>
    </w:p>
    <w:p>
      <w:pPr>
        <w:pStyle w:val="BodyText"/>
      </w:pPr>
      <w:r>
        <w:t xml:space="preserve">Illustrative total product weight at EoL: 0.5 kg</w:t>
      </w:r>
    </w:p>
    <w:p>
      <w:pPr>
        <w:numPr>
          <w:ilvl w:val="0"/>
          <w:numId w:val="1009"/>
        </w:numPr>
        <w:pStyle w:val="Compact"/>
      </w:pPr>
      <w:r>
        <w:t xml:space="preserve">Recycled Portion: 0.5 kg × 70% = 0.35 kg</w:t>
      </w:r>
    </w:p>
    <w:p>
      <w:pPr>
        <w:numPr>
          <w:ilvl w:val="0"/>
          <w:numId w:val="1009"/>
        </w:numPr>
        <w:pStyle w:val="Compact"/>
      </w:pPr>
      <w:r>
        <w:t xml:space="preserve">Non-Recycled Portion: 0.5 kg × 30% = 0.15 kg</w:t>
      </w:r>
    </w:p>
    <w:p>
      <w:pPr>
        <w:numPr>
          <w:ilvl w:val="0"/>
          <w:numId w:val="1009"/>
        </w:numPr>
        <w:pStyle w:val="Compact"/>
      </w:pPr>
      <w:r>
        <w:t xml:space="preserve">Refurbished Portion (from non-recycled): 0.15 kg × 20% = 0.03 kg (avoided emissions through extended life)</w:t>
      </w:r>
    </w:p>
    <w:p>
      <w:pPr>
        <w:numPr>
          <w:ilvl w:val="0"/>
          <w:numId w:val="1009"/>
        </w:numPr>
        <w:pStyle w:val="Compact"/>
      </w:pPr>
      <w:r>
        <w:t xml:space="preserve">Remaining Waste (to landfill/incineration): 0.15 kg - 0.03 kg = 0.12 kg</w:t>
      </w:r>
    </w:p>
    <w:p>
      <w:pPr>
        <w:pStyle w:val="FirstParagraph"/>
      </w:pPr>
      <w:r>
        <w:t xml:space="preserve">For illustrative purposes, we assume avoided emissions from recycling are roughly equivalent to half of the primary material production emissions for the recycled portion (0.35 kg * 1.71 kgCO2e/0.5kg_product * 0.5 avoidance factor for recycling) = 0.60 kgCO2e avoidance. We will use a generic landfill emission factor for the remaining waste. For illustrative purposes, cardboard to landfill could be ~0.023 kg CO2e/kg (DEFRA, for total waste to landfill).</w:t>
      </w:r>
    </w:p>
    <w:p>
      <w:pPr>
        <w:pStyle w:val="BodyText"/>
      </w:pPr>
      <w:r>
        <w:t xml:space="preserve">Illustrative Landfill Emissions (for 0.12 kg waste): 0.12 kg × 0.023 kgCO2e/kg = 0.00276 kgCO2e</w:t>
      </w:r>
    </w:p>
    <w:p>
      <w:pPr>
        <w:pStyle w:val="BodyText"/>
      </w:pPr>
      <w:r>
        <w:rPr>
          <w:bCs/>
          <w:b/>
        </w:rPr>
        <w:t xml:space="preserve">Net End-of-Life Emissions (Scope 3) = -0.60 kg CO2e (avoided) + 0.00276 kg CO2e (landfill) = -0.597 kg CO2e per unit uyysimldok</w:t>
      </w:r>
    </w:p>
    <w:bookmarkEnd w:id="36"/>
    <w:bookmarkStart w:id="37" w:name="X6f8794c1cd9ecdf749a415298bf5b66a2ad3874"/>
    <w:p>
      <w:pPr>
        <w:pStyle w:val="Heading3"/>
      </w:pPr>
      <w:r>
        <w:t xml:space="preserve">4.6. Summary of Illustrative Product Carbon Footprint</w:t>
      </w:r>
    </w:p>
    <w:p>
      <w:pPr>
        <w:pStyle w:val="FirstParagraph"/>
      </w:pPr>
      <w:r>
        <w:t xml:space="preserve">The following table summarizes the illustrative PCF for uyysimldok, categorized by GHG Protocol scopes and lifecycle stages, within the context of the \'factory_gate\' boundary but including expanded use and EoL calculations as requested.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CO2e (kg) per unit</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1.71</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0.36</w:t>
            </w:r>
          </w:p>
        </w:tc>
      </w:tr>
      <w:tr>
        <w:tc>
          <w:tcPr/>
          <w:p>
            <w:pPr>
              <w:pStyle w:val="Compact"/>
              <w:jc w:val="left"/>
            </w:pPr>
            <w:r>
              <w:t xml:space="preserve">Transport to Factory Gate</w:t>
            </w:r>
          </w:p>
        </w:tc>
        <w:tc>
          <w:tcPr/>
          <w:p>
            <w:pPr>
              <w:pStyle w:val="Compact"/>
              <w:jc w:val="left"/>
            </w:pPr>
            <w:r>
              <w:t xml:space="preserve">Scope 3 (Category 4)</w:t>
            </w:r>
          </w:p>
        </w:tc>
        <w:tc>
          <w:tcPr/>
          <w:p>
            <w:pPr>
              <w:pStyle w:val="Compact"/>
              <w:jc w:val="left"/>
            </w:pPr>
            <w:r>
              <w:t xml:space="preserve">0.069</w:t>
            </w:r>
          </w:p>
        </w:tc>
      </w:tr>
      <w:tr>
        <w:tc>
          <w:tcPr/>
          <w:p>
            <w:pPr>
              <w:pStyle w:val="Compact"/>
              <w:jc w:val="left"/>
            </w:pPr>
            <w:r>
              <w:rPr>
                <w:bCs/>
                <w:b/>
              </w:rPr>
              <w:t xml:space="preserve">Subtotal (Factory Gate PCF)</w:t>
            </w:r>
          </w:p>
        </w:tc>
        <w:tc>
          <w:tcPr/>
          <w:p>
            <w:pPr>
              <w:pStyle w:val="Compact"/>
            </w:pPr>
          </w:p>
        </w:tc>
        <w:tc>
          <w:tcPr/>
          <w:p>
            <w:pPr>
              <w:pStyle w:val="Compact"/>
              <w:jc w:val="left"/>
            </w:pPr>
            <w:r>
              <w:rPr>
                <w:bCs/>
                <w:b/>
              </w:rPr>
              <w:t xml:space="preserve">2.139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6.38</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-0.597</w:t>
            </w:r>
          </w:p>
        </w:tc>
      </w:tr>
    </w:tbl>
    <w:p>
      <w:pPr>
        <w:pStyle w:val="BodyText"/>
      </w:pPr>
      <w:r>
        <w:rPr>
          <w:bCs/>
          <w:b/>
        </w:rPr>
        <w:t xml:space="preserve">Illustrative Total Cradle-to-Grave PCF = 2.139 + 6.38 - 0.597 = 7.922 kg CO2e per unit uyysimldok</w:t>
      </w:r>
    </w:p>
    <w:p>
      <w:pPr>
        <w:pStyle w:val="BodyText"/>
      </w:pPr>
      <w:r>
        <w:rPr>
          <w:iCs/>
          <w:i/>
        </w:rPr>
        <w:t xml:space="preserve">Note: These values are illustrative, based on generated data for placeholder parameters. Actual PCF calculations would require specific, verifiable primary and secondary data for all activities.</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Based on the illustrative analysis, the primary emission hotspots for uyysimldok are:</w:t>
      </w:r>
    </w:p>
    <w:p>
      <w:pPr>
        <w:numPr>
          <w:ilvl w:val="0"/>
          <w:numId w:val="1010"/>
        </w:numPr>
        <w:pStyle w:val="Compact"/>
      </w:pPr>
      <w:r>
        <w:rPr>
          <w:bCs/>
          <w:b/>
        </w:rPr>
        <w:t xml:space="preserve">Use Phase (6.38 kg CO2e):</w:t>
      </w:r>
      <w:r>
        <w:t xml:space="preserve"> </w:t>
      </w:r>
      <w:r>
        <w:t xml:space="preserve">This stage dominates the overall cradle-to-grave footprint, primarily due to the energy consumption during the product\'s lifespan. This highlights the importance of energy-efficient design.</w:t>
      </w:r>
    </w:p>
    <w:p>
      <w:pPr>
        <w:numPr>
          <w:ilvl w:val="0"/>
          <w:numId w:val="1010"/>
        </w:numPr>
        <w:pStyle w:val="Compact"/>
      </w:pPr>
      <w:r>
        <w:rPr>
          <w:bCs/>
          <w:b/>
        </w:rPr>
        <w:t xml:space="preserve">Material Acquisition &amp; Processing (1.71 kg CO2e):</w:t>
      </w:r>
      <w:r>
        <w:t xml:space="preserve"> </w:t>
      </w:r>
      <w:r>
        <w:t xml:space="preserve">The raw materials, particularly electronics and plastics, contribute significantly. Efforts to use recycled content, lower-impact materials, and optimize material efficiency would be beneficial.</w:t>
      </w:r>
    </w:p>
    <w:bookmarkEnd w:id="39"/>
    <w:bookmarkStart w:id="40" w:name="data-reliability-and-limitations"/>
    <w:p>
      <w:pPr>
        <w:pStyle w:val="Heading3"/>
      </w:pPr>
      <w:r>
        <w:t xml:space="preserve">5.2. Data Reliability and Limitations</w:t>
      </w:r>
    </w:p>
    <w:p>
      <w:pPr>
        <w:pStyle w:val="FirstParagraph"/>
      </w:pPr>
      <w:r>
        <w:t xml:space="preserve">The reliability of this report is limited by the nature of the input parameters provided as generic strings. To conduct a truly high-accuracy PCF analysis, detailed, primary data would be required for all stages, including specific electricity grid mixes, actual transport distances and modes, and detailed material composition with corresponding verified emission factors.</w:t>
      </w:r>
    </w:p>
    <w:p>
      <w:pPr>
        <w:pStyle w:val="BodyText"/>
      </w:pPr>
      <w:r>
        <w:t xml:space="preserve">The GHG Protocol Product Standard allows for a range of data quality choices. For external reporting or product claims, the highest quality primary data should be sought. The illustrative emission factors used in this report are based on publicly available databases like Ecoinvent and DEFRA, which represent secondary data. Actual emissions may vary significantly.</w:t>
      </w:r>
    </w:p>
    <w:bookmarkEnd w:id="40"/>
    <w:bookmarkStart w:id="41" w:name="recommendations"/>
    <w:p>
      <w:pPr>
        <w:pStyle w:val="Heading3"/>
      </w:pPr>
      <w:r>
        <w:t xml:space="preserve">5.3. Recommendations</w:t>
      </w:r>
    </w:p>
    <w:p>
      <w:pPr>
        <w:numPr>
          <w:ilvl w:val="0"/>
          <w:numId w:val="1011"/>
        </w:numPr>
        <w:pStyle w:val="Compact"/>
      </w:pPr>
      <w:r>
        <w:rPr>
          <w:bCs/>
          <w:b/>
        </w:rPr>
        <w:t xml:space="preserve">Prioritize Use Phase Optimization:</w:t>
      </w:r>
      <w:r>
        <w:t xml:space="preserve"> </w:t>
      </w:r>
      <w:r>
        <w:t xml:space="preserve">Focus on designing uyysimldok for maximum energy efficiency during its operational life. This could include improved component selection, software optimization, and providing guidance to users on efficient usage.</w:t>
      </w:r>
    </w:p>
    <w:p>
      <w:pPr>
        <w:numPr>
          <w:ilvl w:val="0"/>
          <w:numId w:val="1011"/>
        </w:numPr>
        <w:pStyle w:val="Compact"/>
      </w:pPr>
      <w:r>
        <w:rPr>
          <w:bCs/>
          <w:b/>
        </w:rPr>
        <w:t xml:space="preserve">Material Circularity:</w:t>
      </w:r>
      <w:r>
        <w:t xml:space="preserve"> </w:t>
      </w:r>
      <w:r>
        <w:t xml:space="preserve">Investigate opportunities for increasing recycled content in the plastic casing and explore alternative, lower-impact materials for electronic components.</w:t>
      </w:r>
    </w:p>
    <w:p>
      <w:pPr>
        <w:numPr>
          <w:ilvl w:val="0"/>
          <w:numId w:val="1011"/>
        </w:numPr>
        <w:pStyle w:val="Compact"/>
      </w:pPr>
      <w:r>
        <w:rPr>
          <w:bCs/>
          <w:b/>
        </w:rPr>
        <w:t xml:space="preserve">Supply Chain Engagement:</w:t>
      </w:r>
      <w:r>
        <w:t xml:space="preserve"> </w:t>
      </w:r>
      <w:r>
        <w:t xml:space="preserve">Engage with key suppliers to collect primary data on material production and transportation, especially for high-impact components like circuit boards and batteries, to improve the accuracy of Scope 3 reporting.</w:t>
      </w:r>
    </w:p>
    <w:p>
      <w:pPr>
        <w:numPr>
          <w:ilvl w:val="0"/>
          <w:numId w:val="1011"/>
        </w:numPr>
        <w:pStyle w:val="Compact"/>
      </w:pPr>
      <w:r>
        <w:rPr>
          <w:bCs/>
          <w:b/>
        </w:rPr>
        <w:t xml:space="preserve">End-of-Life Infrastructure:</w:t>
      </w:r>
      <w:r>
        <w:t xml:space="preserve"> </w:t>
      </w:r>
      <w:r>
        <w:t xml:space="preserve">Expand and promote circular/take-back programs (e.g., refurbishment, repair, high-quality recycling pathways) to maximize material recovery and minimize waste.</w:t>
      </w:r>
    </w:p>
    <w:p>
      <w:pPr>
        <w:numPr>
          <w:ilvl w:val="0"/>
          <w:numId w:val="1011"/>
        </w:numPr>
        <w:pStyle w:val="Compact"/>
      </w:pPr>
      <w:r>
        <w:rPr>
          <w:bCs/>
          <w:b/>
        </w:rPr>
        <w:t xml:space="preserve">Renewable Energy Procurement:</w:t>
      </w:r>
      <w:r>
        <w:t xml:space="preserve"> </w:t>
      </w:r>
      <w:r>
        <w:t xml:space="preserve">Continue and expand the use of renewable energy in manufacturing operations, and explore opportunities for similar initiatives within the supply chain.</w:t>
      </w:r>
    </w:p>
    <w:p>
      <w:r>
        <w:pict>
          <v:rect style="width:0;height:1.5pt" o:hralign="center" o:hrstd="t" o:hr="t"/>
        </w:pict>
      </w:r>
    </w:p>
    <w:bookmarkEnd w:id="41"/>
    <w:bookmarkEnd w:id="42"/>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uyysimldok</dc:title>
  <dc:creator/>
  <dc:description>Detailed Product Carbon Footprint (PCF) analysis report for uyysimldok, adhering to GHG Protocol standards, prepared by Senior Sustainability Consultant tvtuzkwseq for etnyhrulis.</dc:description>
  <dc:language>en</dc:language>
  <cp:keywords/>
  <dcterms:created xsi:type="dcterms:W3CDTF">2026-07-15T09:30:57Z</dcterms:created>
  <dcterms:modified xsi:type="dcterms:W3CDTF">2026-07-15T09:30:57Z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