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uyjwddivjq</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uyjwddivjq"/>
    <w:p>
      <w:pPr>
        <w:pStyle w:val="Heading1"/>
      </w:pPr>
      <w:r>
        <w:t xml:space="preserve">for uyjwddivjq</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gyeemixsrn</w:t>
      </w:r>
    </w:p>
    <w:p>
      <w:pPr>
        <w:pStyle w:val="BodyText"/>
      </w:pPr>
      <w:r>
        <w:rPr>
          <w:bCs/>
          <w:b/>
        </w:rPr>
        <w:t xml:space="preserve">Senior Sustainability Consultant:</w:t>
      </w:r>
      <w:r>
        <w:t xml:space="preserve"> </w:t>
      </w:r>
      <w:r>
        <w:t xml:space="preserve">dwwzsyuuyp</w:t>
      </w:r>
    </w:p>
    <w:p>
      <w:pPr>
        <w:pStyle w:val="BodyText"/>
      </w:pPr>
      <w:r>
        <w:t xml:space="preserve">Disclaimer: This report is generated based on available data and industry standards. While efforts have been made to ensure accuracy and adherence to specified methodologies, results are indicative and subject to the quality and completeness of underlying data and selected emission factors.</w:t>
      </w:r>
    </w:p>
    <w:bookmarkEnd w:id="21"/>
    <w:bookmarkStart w:id="22" w:name="X305dbac3d1826a2624194c63e6a55990e4a50cd"/>
    <w:p>
      <w:pPr>
        <w:pStyle w:val="Heading1"/>
      </w:pPr>
      <w:r>
        <w:t xml:space="preserve">Product Carbon Footprint Report for uyjwddivjq</w:t>
      </w:r>
    </w:p>
    <w:p>
      <w:pPr>
        <w:pStyle w:val="FirstParagraph"/>
      </w:pPr>
      <w:r>
        <w:t xml:space="preserve">Generated Date: May 26,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provides a high-detail Product Carbon Footprint (PCF) analysis for the product</w:t>
      </w:r>
      <w:r>
        <w:t xml:space="preserve"> </w:t>
      </w:r>
      <w:r>
        <w:rPr>
          <w:bCs/>
          <w:b/>
        </w:rPr>
        <w:t xml:space="preserve">uyjwddivjq</w:t>
      </w:r>
      <w:r>
        <w:t xml:space="preserve">, manufactured by</w:t>
      </w:r>
      <w:r>
        <w:t xml:space="preserve"> </w:t>
      </w:r>
      <w:r>
        <w:rPr>
          <w:bCs/>
          <w:b/>
        </w:rPr>
        <w:t xml:space="preserve">gyeemixsrn</w:t>
      </w:r>
      <w:r>
        <w:t xml:space="preserve">. The analysis adheres strictly to the GHG Protocol standards, incorporating the latest 2026 Land Sector and Removals (LSR) Standard updates and aiming for at least 95% Scope 3 coverage. The assessment covers a cradle-to-grave lifecycle, encompassing raw material acquisition, manufacturing, transportation, the use phase, and end-of-life management. The total calculated Product Carbon Footprint for one functional unit of uyjwddivjq is</w:t>
      </w:r>
      <w:r>
        <w:t xml:space="preserve"> </w:t>
      </w:r>
      <w:r>
        <w:rPr>
          <w:bCs/>
          <w:b/>
        </w:rPr>
        <w:t xml:space="preserve">55.56 kg CO</w:t>
      </w:r>
      <w:r>
        <w:rPr>
          <w:vertAlign w:val="subscript"/>
          <w:bCs/>
          <w:b/>
        </w:rPr>
        <w:t xml:space="preserve">2</w:t>
      </w:r>
      <w:r>
        <w:rPr>
          <w:bCs/>
          <w:b/>
        </w:rPr>
        <w:t xml:space="preserve">e</w:t>
      </w:r>
      <w:r>
        <w:t xml:space="preserve">. Key emission hotspots have been identified across the lifecycle, with particular emphasis on the materials, use phase, and last-mile delivery, offering actionable insights for emission reduction strategies.</w:t>
      </w:r>
    </w:p>
    <w:bookmarkEnd w:id="23"/>
    <w:p>
      <w:r>
        <w:pict>
          <v:rect style="width:0;height:1.5pt" o:hralign="center" o:hrstd="t" o:hr="t"/>
        </w:pict>
      </w:r>
    </w:p>
    <w:bookmarkStart w:id="24" w:name="methodology-and-scope-definition"/>
    <w:p>
      <w:pPr>
        <w:pStyle w:val="Heading2"/>
      </w:pPr>
      <w:r>
        <w:t xml:space="preserve">1. Methodology and Scope Definition</w:t>
      </w:r>
    </w:p>
    <w:p>
      <w:pPr>
        <w:pStyle w:val="FirstParagraph"/>
      </w:pPr>
      <w:r>
        <w:t xml:space="preserve">As</w:t>
      </w:r>
      <w:r>
        <w:t xml:space="preserve"> </w:t>
      </w:r>
      <w:r>
        <w:rPr>
          <w:bCs/>
          <w:b/>
        </w:rPr>
        <w:t xml:space="preserve">dwwzsyuuyp</w:t>
      </w:r>
      <w:r>
        <w:t xml:space="preserve">, a Senior Sustainability Consultant specializing in GHG Protocol, this analysis follows a structured five-step methodology to ensure comprehensive and accurate carbon footprint assessment:</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uyjwddivjq.</w:t>
      </w:r>
    </w:p>
    <w:p>
      <w:pPr>
        <w:numPr>
          <w:ilvl w:val="1"/>
          <w:numId w:val="1002"/>
        </w:numPr>
        <w:pStyle w:val="Compact"/>
      </w:pPr>
      <w:r>
        <w:rPr>
          <w:bCs/>
          <w:b/>
        </w:rPr>
        <w:t xml:space="preserve">System Boundary:</w:t>
      </w:r>
      <w:r>
        <w:t xml:space="preserve"> </w:t>
      </w:r>
      <w:r>
        <w:t xml:space="preserve">Cradle-to-grave. While the primary production boundary is defined as \'factory_gate\', the analysis extends to include upstream (raw materials, transport to factory) and downstream (transport to customer, use phase, end-of-life) impacts to provide a comprehensive product lifecycle assessment.</w:t>
      </w:r>
    </w:p>
    <w:p>
      <w:pPr>
        <w:numPr>
          <w:ilvl w:val="1"/>
          <w:numId w:val="1002"/>
        </w:numPr>
        <w:pStyle w:val="Compact"/>
      </w:pPr>
      <w:r>
        <w:rPr>
          <w:bCs/>
          <w:b/>
        </w:rPr>
        <w:t xml:space="preserve">Geographic Scope:</w:t>
      </w:r>
      <w:r>
        <w:t xml:space="preserve"> </w:t>
      </w:r>
      <w:r>
        <w:t xml:space="preserve">Final Production Country: China, Supply Chain Focus: Europe Focused (for upstream materials and components), Downstream Distribution and Use: Europe/Global average.</w:t>
      </w:r>
    </w:p>
    <w:p>
      <w:pPr>
        <w:numPr>
          <w:ilvl w:val="1"/>
          <w:numId w:val="1002"/>
        </w:numPr>
        <w:pStyle w:val="Compact"/>
      </w:pPr>
      <w:r>
        <w:rPr>
          <w:bCs/>
          <w:b/>
        </w:rPr>
        <w:t xml:space="preserve">Allocation:</w:t>
      </w:r>
      <w:r>
        <w:t xml:space="preserve"> </w:t>
      </w:r>
      <w:r>
        <w:t xml:space="preserve">Mass-based allocation is applied where co-products or by-products could occur, focusing emissions directly on the functional unit.</w:t>
      </w:r>
    </w:p>
    <w:p>
      <w:pPr>
        <w:numPr>
          <w:ilvl w:val="0"/>
          <w:numId w:val="1001"/>
        </w:numPr>
        <w:pStyle w:val="Compact"/>
      </w:pPr>
      <w:r>
        <w:rPr>
          <w:bCs/>
          <w:b/>
        </w:rPr>
        <w:t xml:space="preserve">Map Lifecycle (LCI Inventory Stages):</w:t>
      </w:r>
      <w:r>
        <w:t xml:space="preserve"> </w:t>
      </w:r>
      <w:r>
        <w:t xml:space="preserve">This step involves detailing all processes and flows throughout the product\'s life, from raw material extraction to final disposal.</w:t>
      </w:r>
    </w:p>
    <w:p>
      <w:pPr>
        <w:numPr>
          <w:ilvl w:val="0"/>
          <w:numId w:val="1001"/>
        </w:numPr>
        <w:pStyle w:val="Compact"/>
      </w:pPr>
      <w:r>
        <w:rPr>
          <w:bCs/>
          <w:b/>
        </w:rPr>
        <w:t xml:space="preserve">Collect Data (Primary/Secondary data points):</w:t>
      </w:r>
      <w:r>
        <w:t xml:space="preserve"> </w:t>
      </w:r>
      <w:r>
        <w:t xml:space="preserve">A combination of primary data (provided parameters) and secondary, industry-standard emission factors (e.g., from Ecoinvent/DEFRA principles) is utilized.</w:t>
      </w:r>
    </w:p>
    <w:p>
      <w:pPr>
        <w:numPr>
          <w:ilvl w:val="0"/>
          <w:numId w:val="1001"/>
        </w:numPr>
        <w:pStyle w:val="Compact"/>
      </w:pPr>
      <w:r>
        <w:rPr>
          <w:bCs/>
          <w:b/>
        </w:rPr>
        <w:t xml:space="preserve">Calculate Emissions (Activity * Emission Factor = CO</w:t>
      </w:r>
      <w:r>
        <w:rPr>
          <w:vertAlign w:val="subscript"/>
          <w:bCs/>
          <w:b/>
        </w:rPr>
        <w:t xml:space="preserve">2</w:t>
      </w:r>
      <w:r>
        <w:rPr>
          <w:bCs/>
          <w:b/>
        </w:rPr>
        <w:t xml:space="preserve">e):</w:t>
      </w:r>
      <w:r>
        <w:t xml:space="preserve"> </w:t>
      </w:r>
      <w:r>
        <w:t xml:space="preserve">Emissions are calculated for each stage of the product\'s lifecycle and categorized according to the GHG Protocol scopes.</w:t>
      </w:r>
    </w:p>
    <w:p>
      <w:pPr>
        <w:numPr>
          <w:ilvl w:val="0"/>
          <w:numId w:val="1001"/>
        </w:numPr>
        <w:pStyle w:val="Compact"/>
      </w:pPr>
      <w:r>
        <w:rPr>
          <w:bCs/>
          <w:b/>
        </w:rPr>
        <w:t xml:space="preserve">Review &amp; Report (Hotspots and reliability):</w:t>
      </w:r>
      <w:r>
        <w:t xml:space="preserve"> </w:t>
      </w:r>
      <w:r>
        <w:t xml:space="preserve">The final step involves identifying significant emission sources (hotspots), assessing data reliability, and providing actionable recommendations.</w:t>
      </w:r>
    </w:p>
    <w:p>
      <w:pPr>
        <w:pStyle w:val="FirstParagraph"/>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standards for corporate accounting and product lifecycle assessment.</w:t>
      </w:r>
    </w:p>
    <w:p>
      <w:pPr>
        <w:pStyle w:val="BodyText"/>
      </w:pPr>
      <w:r>
        <w:rPr>
          <w:bCs/>
          <w:b/>
        </w:rPr>
        <w:t xml:space="preserve">GHG Protocol Scope Categorization:</w:t>
      </w:r>
      <w:r>
        <w:t xml:space="preserve"> </w:t>
      </w:r>
      <w:r>
        <w:t xml:space="preserve">Emissions are categorized into three scopes:</w:t>
      </w:r>
    </w:p>
    <w:p>
      <w:pPr>
        <w:numPr>
          <w:ilvl w:val="0"/>
          <w:numId w:val="1003"/>
        </w:numPr>
        <w:pStyle w:val="Compact"/>
      </w:pPr>
      <w:r>
        <w:rPr>
          <w:bCs/>
          <w:b/>
        </w:rPr>
        <w:t xml:space="preserve">Scope 1 (Direct Emissions):</w:t>
      </w:r>
      <w:r>
        <w:t xml:space="preserve"> </w:t>
      </w:r>
      <w:r>
        <w:t xml:space="preserve">Emissions from sources owned or controlled by</w:t>
      </w:r>
      <w:r>
        <w:t xml:space="preserve"> </w:t>
      </w:r>
      <w:r>
        <w:rPr>
          <w:bCs/>
          <w:b/>
        </w:rPr>
        <w:t xml:space="preserve">gyeemixsrn</w:t>
      </w:r>
      <w:r>
        <w:t xml:space="preserve">. For this PCF, significant Scope 1 emissions at the factory gate were not identified from the provided parameters, as production energy is considered purchased electricity (Scope 2).</w:t>
      </w:r>
    </w:p>
    <w:p>
      <w:pPr>
        <w:numPr>
          <w:ilvl w:val="0"/>
          <w:numId w:val="1003"/>
        </w:numPr>
        <w:pStyle w:val="Compact"/>
      </w:pPr>
      <w:r>
        <w:rPr>
          <w:bCs/>
          <w:b/>
        </w:rPr>
        <w:t xml:space="preserve">Scope 2 (Indirect Emissions from Purchased Energy):</w:t>
      </w:r>
      <w:r>
        <w:t xml:space="preserve"> </w:t>
      </w:r>
      <w:r>
        <w:t xml:space="preserve">Emissions from the generation of purchased electricity, heat, or steam consumed by</w:t>
      </w:r>
      <w:r>
        <w:t xml:space="preserve"> </w:t>
      </w:r>
      <w:r>
        <w:rPr>
          <w:bCs/>
          <w:b/>
        </w:rPr>
        <w:t xml:space="preserve">gyeemixsrn</w:t>
      </w:r>
      <w:r>
        <w:t xml:space="preserve">.</w:t>
      </w:r>
    </w:p>
    <w:p>
      <w:pPr>
        <w:numPr>
          <w:ilvl w:val="0"/>
          <w:numId w:val="1003"/>
        </w:numPr>
        <w:pStyle w:val="Compact"/>
      </w:pPr>
      <w:r>
        <w:rPr>
          <w:bCs/>
          <w:b/>
        </w:rPr>
        <w:t xml:space="preserve">Scope 3 (Other Indirect Emissions):</w:t>
      </w:r>
      <w:r>
        <w:t xml:space="preserve"> </w:t>
      </w:r>
      <w:r>
        <w:t xml:space="preserve">All other indirect emissions occurring in the value chain, both upstream and downstream. This typically constitutes the largest portion of a product\'s footprint.</w:t>
      </w:r>
    </w:p>
    <w:p>
      <w:pPr>
        <w:pStyle w:val="FirstParagraph"/>
      </w:pPr>
      <w:r>
        <w:rPr>
          <w:bCs/>
          <w:b/>
        </w:rPr>
        <w:t xml:space="preserve">2026 LSR Update (Land Sector and Removals Standard):</w:t>
      </w:r>
      <w:r>
        <w:t xml:space="preserve"> </w:t>
      </w:r>
      <w:r>
        <w:t xml:space="preserve">The Land Sector and Removals (LSR) Standard, effective January 1, 2027, provides requirements and guidance for quantifying, reporting, and tracking land emissions and CO</w:t>
      </w:r>
      <w:r>
        <w:rPr>
          <w:vertAlign w:val="subscript"/>
        </w:rPr>
        <w:t xml:space="preserve">2</w:t>
      </w:r>
      <w:r>
        <w:t xml:space="preserve"> </w:t>
      </w:r>
      <w:r>
        <w:t xml:space="preserve">removals. While full guidance is expected in Q2 2026, this report acknowledges its relevance. For biogenic materials like cardboard packaging, potential land use change impacts are considered implicitly through the emission factors used for material production. Without specific primary data on land use for the raw materials, this analysis relies on embedded carbon values derived from databases that account for typical land-use scenarios associated with material production.</w:t>
      </w:r>
    </w:p>
    <w:p>
      <w:pPr>
        <w:pStyle w:val="BodyText"/>
      </w:pPr>
      <w:r>
        <w:rPr>
          <w:bCs/>
          <w:b/>
        </w:rPr>
        <w:t xml:space="preserve">Scope 3 Compliance:</w:t>
      </w:r>
      <w:r>
        <w:t xml:space="preserve"> </w:t>
      </w:r>
      <w:r>
        <w:t xml:space="preserve">This analysis aims for at least 95% coverage for Scope 3 reporting, diligently incorporating emissions from purchased materials, transportation, product use, and end-of-life stages, as per 2026 requirements.</w:t>
      </w:r>
    </w:p>
    <w:bookmarkEnd w:id="24"/>
    <w:p>
      <w:r>
        <w:pict>
          <v:rect style="width:0;height:1.5pt" o:hralign="center" o:hrstd="t" o:hr="t"/>
        </w:pict>
      </w:r>
    </w:p>
    <w:bookmarkStart w:id="31" w:name="lifecycle-inventory-data-collection"/>
    <w:p>
      <w:pPr>
        <w:pStyle w:val="Heading2"/>
      </w:pPr>
      <w:r>
        <w:t xml:space="preserve">2. Lifecycle Inventory &amp; Data Collection</w:t>
      </w:r>
    </w:p>
    <w:bookmarkStart w:id="25" w:name="product-uyjwddivjq"/>
    <w:p>
      <w:pPr>
        <w:pStyle w:val="Heading3"/>
      </w:pPr>
      <w:r>
        <w:t xml:space="preserve">Product: uyjwddivjq</w:t>
      </w:r>
    </w:p>
    <w:p>
      <w:pPr>
        <w:pStyle w:val="FirstParagraph"/>
      </w:pPr>
      <w:r>
        <w:t xml:space="preserve">The following detailed Bill of Materials (BOM) and lifecycle data points were used for the analysis:</w:t>
      </w:r>
    </w:p>
    <w:bookmarkEnd w:id="25"/>
    <w:bookmarkStart w:id="26" w:name="Xaaa13dfc1c1f8fd8a9b3435aff310acc9007c87"/>
    <w:p>
      <w:pPr>
        <w:pStyle w:val="Heading3"/>
      </w:pPr>
      <w:r>
        <w:t xml:space="preserve">2.1. Detailed Bill of Materials (BOM) - fqdvirhd</w:t>
      </w:r>
    </w:p>
    <w:p>
      <w:pPr>
        <w:pStyle w:val="FirstParagraph"/>
      </w:pPr>
      <w:r>
        <w:t xml:space="preserve">The material impact is directly calculated from the provided \'Total Carbon\' values in the BOM, reflecting the embedded emissions from extraction, processing, and manufacturing of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MTRL001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 kg CO</w:t>
            </w:r>
            <w:r>
              <w:rPr>
                <w:vertAlign w:val="subscript"/>
              </w:rPr>
              <w:t xml:space="preserve">2</w:t>
            </w:r>
            <w:r>
              <w:t xml:space="preserve">e/kg</w:t>
            </w:r>
          </w:p>
        </w:tc>
        <w:tc>
          <w:tcPr/>
          <w:p>
            <w:pPr>
              <w:pStyle w:val="Compact"/>
              <w:jc w:val="left"/>
            </w:pPr>
            <w:r>
              <w:t xml:space="preserve">4.25</w:t>
            </w:r>
          </w:p>
        </w:tc>
      </w:tr>
      <w:tr>
        <w:tc>
          <w:tcPr/>
          <w:p>
            <w:pPr>
              <w:pStyle w:val="Compact"/>
              <w:jc w:val="left"/>
            </w:pPr>
            <w:r>
              <w:t xml:space="preserve">MTRL002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3.8 kg CO</w:t>
            </w:r>
            <w:r>
              <w:rPr>
                <w:vertAlign w:val="subscript"/>
              </w:rPr>
              <w:t xml:space="preserve">2</w:t>
            </w:r>
            <w:r>
              <w:t xml:space="preserve">e/kg</w:t>
            </w:r>
          </w:p>
        </w:tc>
        <w:tc>
          <w:tcPr/>
          <w:p>
            <w:pPr>
              <w:pStyle w:val="Compact"/>
              <w:jc w:val="left"/>
            </w:pPr>
            <w:r>
              <w:t xml:space="preserve">0.76</w:t>
            </w:r>
          </w:p>
        </w:tc>
      </w:tr>
      <w:tr>
        <w:tc>
          <w:tcPr/>
          <w:p>
            <w:pPr>
              <w:pStyle w:val="Compact"/>
              <w:jc w:val="left"/>
            </w:pPr>
            <w:r>
              <w:t xml:space="preserve">MTRL003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 kg CO</w:t>
            </w:r>
            <w:r>
              <w:rPr>
                <w:vertAlign w:val="subscript"/>
              </w:rPr>
              <w:t xml:space="preserve">2</w:t>
            </w:r>
            <w:r>
              <w:t xml:space="preserve">e/unit</w:t>
            </w:r>
          </w:p>
        </w:tc>
        <w:tc>
          <w:tcPr/>
          <w:p>
            <w:pPr>
              <w:pStyle w:val="Compact"/>
              <w:jc w:val="left"/>
            </w:pPr>
            <w:r>
              <w:t xml:space="preserve">15.00</w:t>
            </w:r>
          </w:p>
        </w:tc>
      </w:tr>
      <w:tr>
        <w:tc>
          <w:tcPr/>
          <w:p>
            <w:pPr>
              <w:pStyle w:val="Compact"/>
              <w:jc w:val="left"/>
            </w:pPr>
            <w:r>
              <w:t xml:space="preserve">MTRL004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 kg CO</w:t>
            </w:r>
            <w:r>
              <w:rPr>
                <w:vertAlign w:val="subscript"/>
              </w:rPr>
              <w:t xml:space="preserve">2</w:t>
            </w:r>
            <w:r>
              <w:t xml:space="preserve">e/kg</w:t>
            </w:r>
          </w:p>
        </w:tc>
        <w:tc>
          <w:tcPr/>
          <w:p>
            <w:pPr>
              <w:pStyle w:val="Compact"/>
              <w:jc w:val="left"/>
            </w:pPr>
            <w:r>
              <w:t xml:space="preserve">1.20</w:t>
            </w:r>
          </w:p>
        </w:tc>
      </w:tr>
      <w:tr>
        <w:tc>
          <w:tcPr/>
          <w:p>
            <w:pPr>
              <w:pStyle w:val="Compact"/>
              <w:jc w:val="left"/>
            </w:pPr>
            <w:r>
              <w:t xml:space="preserve">MTRL005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 CO</w:t>
            </w:r>
            <w:r>
              <w:rPr>
                <w:vertAlign w:val="subscript"/>
              </w:rPr>
              <w:t xml:space="preserve">2</w:t>
            </w:r>
            <w:r>
              <w:t xml:space="preserve">e/kg</w:t>
            </w:r>
          </w:p>
        </w:tc>
        <w:tc>
          <w:tcPr/>
          <w:p>
            <w:pPr>
              <w:pStyle w:val="Compact"/>
              <w:jc w:val="left"/>
            </w:pPr>
            <w:r>
              <w:t xml:space="preserve">0.20</w:t>
            </w:r>
          </w:p>
        </w:tc>
      </w:tr>
      <w:tr>
        <w:tc>
          <w:tcPr/>
          <w:p>
            <w:pPr>
              <w:pStyle w:val="Compact"/>
              <w:jc w:val="left"/>
            </w:pPr>
            <w:r>
              <w:t xml:space="preserve">MTRL006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 kg CO</w:t>
            </w:r>
            <w:r>
              <w:rPr>
                <w:vertAlign w:val="subscript"/>
              </w:rPr>
              <w:t xml:space="preserve">2</w:t>
            </w:r>
            <w:r>
              <w:t xml:space="preserve">e/kg</w:t>
            </w:r>
          </w:p>
        </w:tc>
        <w:tc>
          <w:tcPr/>
          <w:p>
            <w:pPr>
              <w:pStyle w:val="Compact"/>
              <w:jc w:val="left"/>
            </w:pPr>
            <w:r>
              <w:t xml:space="preserve">0.15</w:t>
            </w:r>
          </w:p>
        </w:tc>
      </w:tr>
      <w:tr>
        <w:tc>
          <w:tcPr>
            <w:gridSpan w:val="7"/>
          </w:tcPr>
          <w:p>
            <w:pPr>
              <w:pStyle w:val="Compact"/>
              <w:jc w:val="right"/>
            </w:pPr>
            <w:r>
              <w:t xml:space="preserve">Total Material Impact (Scope 3)</w:t>
            </w:r>
          </w:p>
        </w:tc>
        <w:tc>
          <w:tcPr/>
          <w:p>
            <w:pPr>
              <w:pStyle w:val="Compact"/>
              <w:jc w:val="left"/>
            </w:pPr>
            <w:r>
              <w:t xml:space="preserve">21.56</w:t>
            </w:r>
          </w:p>
        </w:tc>
      </w:tr>
    </w:tbl>
    <w:bookmarkEnd w:id="26"/>
    <w:bookmarkStart w:id="27" w:name="energy-inputs-production-phase"/>
    <w:p>
      <w:pPr>
        <w:pStyle w:val="Heading3"/>
      </w:pPr>
      <w:r>
        <w:t xml:space="preserve">2.2. Energy Inputs (Production Phase)</w:t>
      </w:r>
    </w:p>
    <w:p>
      <w:pPr>
        <w:numPr>
          <w:ilvl w:val="0"/>
          <w:numId w:val="1004"/>
        </w:numPr>
        <w:pStyle w:val="Compact"/>
      </w:pPr>
      <w:r>
        <w:rPr>
          <w:bCs/>
          <w:b/>
        </w:rPr>
        <w:t xml:space="preserve">Energy Intensity (kWh/unit):</w:t>
      </w:r>
      <w:r>
        <w:t xml:space="preserve"> </w:t>
      </w:r>
      <w:r>
        <w:t xml:space="preserve">jrovrvewgl (5 kWh/unit)</w:t>
      </w:r>
    </w:p>
    <w:p>
      <w:pPr>
        <w:numPr>
          <w:ilvl w:val="0"/>
          <w:numId w:val="1004"/>
        </w:numPr>
        <w:pStyle w:val="Compact"/>
      </w:pPr>
      <w:r>
        <w:rPr>
          <w:bCs/>
          <w:b/>
        </w:rPr>
        <w:t xml:space="preserve">Renewable Energy Usage:</w:t>
      </w:r>
      <w:r>
        <w:t xml:space="preserve"> </w:t>
      </w:r>
      <w:r>
        <w:t xml:space="preserve">moqifhoktg (75%)</w:t>
      </w:r>
    </w:p>
    <w:p>
      <w:pPr>
        <w:numPr>
          <w:ilvl w:val="0"/>
          <w:numId w:val="1004"/>
        </w:numPr>
        <w:pStyle w:val="Compact"/>
      </w:pPr>
      <w:r>
        <w:rPr>
          <w:bCs/>
          <w:b/>
        </w:rPr>
        <w:t xml:space="preserve">Non-Renewable Energy Usage:</w:t>
      </w:r>
      <w:r>
        <w:t xml:space="preserve"> </w:t>
      </w:r>
      <w:r>
        <w:t xml:space="preserve">25% (1.25 kWh/unit)</w:t>
      </w:r>
    </w:p>
    <w:p>
      <w:pPr>
        <w:numPr>
          <w:ilvl w:val="0"/>
          <w:numId w:val="1004"/>
        </w:numPr>
        <w:pStyle w:val="Compact"/>
      </w:pPr>
      <w:r>
        <w:rPr>
          <w:bCs/>
          <w:b/>
        </w:rPr>
        <w:t xml:space="preserve">Electricity Emission Factor (China Grid Mix):</w:t>
      </w:r>
      <w:r>
        <w:t xml:space="preserve"> </w:t>
      </w:r>
      <w:r>
        <w:t xml:space="preserve">0.556 kg CO</w:t>
      </w:r>
      <w:r>
        <w:rPr>
          <w:vertAlign w:val="subscript"/>
        </w:rPr>
        <w:t xml:space="preserve">2</w:t>
      </w:r>
      <w:r>
        <w:t xml:space="preserve">e/kWh (for non-renewable portion).</w:t>
      </w:r>
    </w:p>
    <w:bookmarkEnd w:id="27"/>
    <w:bookmarkStart w:id="28" w:name="logistics-data"/>
    <w:p>
      <w:pPr>
        <w:pStyle w:val="Heading3"/>
      </w:pPr>
      <w:r>
        <w:t xml:space="preserve">2.3. Logistics Data</w:t>
      </w:r>
    </w:p>
    <w:p>
      <w:pPr>
        <w:numPr>
          <w:ilvl w:val="0"/>
          <w:numId w:val="1005"/>
        </w:numPr>
        <w:pStyle w:val="Compact"/>
      </w:pPr>
      <w:r>
        <w:rPr>
          <w:bCs/>
          <w:b/>
        </w:rPr>
        <w:t xml:space="preserve">Transport Mode (Upstream/Primary):</w:t>
      </w:r>
      <w:r>
        <w:t xml:space="preserve"> </w:t>
      </w:r>
      <w:r>
        <w:t xml:space="preserve">Road Freight (Heavy Duty Truck).</w:t>
      </w:r>
    </w:p>
    <w:p>
      <w:pPr>
        <w:numPr>
          <w:ilvl w:val="0"/>
          <w:numId w:val="1005"/>
        </w:numPr>
        <w:pStyle w:val="Compact"/>
      </w:pPr>
      <w:r>
        <w:rPr>
          <w:bCs/>
          <w:b/>
        </w:rPr>
        <w:t xml:space="preserve">Transport Distance (Upstream/Primary):</w:t>
      </w:r>
      <w:r>
        <w:t xml:space="preserve"> </w:t>
      </w:r>
      <w:r>
        <w:t xml:space="preserve">qoxqujjmfu (2000 km, assumed for Europe-China supply chain).</w:t>
      </w:r>
    </w:p>
    <w:p>
      <w:pPr>
        <w:numPr>
          <w:ilvl w:val="0"/>
          <w:numId w:val="1005"/>
        </w:numPr>
        <w:pStyle w:val="Compact"/>
      </w:pPr>
      <w:r>
        <w:rPr>
          <w:bCs/>
          <w:b/>
        </w:rPr>
        <w:t xml:space="preserve">Primary Transport Emission Factor:</w:t>
      </w:r>
      <w:r>
        <w:t xml:space="preserve"> </w:t>
      </w:r>
      <w:r>
        <w:t xml:space="preserve">0.1 kg CO</w:t>
      </w:r>
      <w:r>
        <w:rPr>
          <w:vertAlign w:val="subscript"/>
        </w:rPr>
        <w:t xml:space="preserve">2</w:t>
      </w:r>
      <w:r>
        <w:t xml:space="preserve">e/tonne-km (for heavy-duty truck, Europe focus).</w:t>
      </w:r>
    </w:p>
    <w:p>
      <w:pPr>
        <w:numPr>
          <w:ilvl w:val="0"/>
          <w:numId w:val="1005"/>
        </w:numPr>
        <w:pStyle w:val="Compact"/>
      </w:pPr>
      <w:r>
        <w:rPr>
          <w:bCs/>
          <w:b/>
        </w:rPr>
        <w:t xml:space="preserve">Last-Mile Delivery Channel:</w:t>
      </w:r>
      <w:r>
        <w:t xml:space="preserve"> </w:t>
      </w:r>
      <w:r>
        <w:t xml:space="preserve">Delivery Type (Standard Parcel Delivery).</w:t>
      </w:r>
    </w:p>
    <w:p>
      <w:pPr>
        <w:numPr>
          <w:ilvl w:val="0"/>
          <w:numId w:val="1005"/>
        </w:numPr>
        <w:pStyle w:val="Compact"/>
      </w:pPr>
      <w:r>
        <w:rPr>
          <w:bCs/>
          <w:b/>
        </w:rPr>
        <w:t xml:space="preserve">Last-Mile Delivery Distance:</w:t>
      </w:r>
      <w:r>
        <w:t xml:space="preserve"> </w:t>
      </w:r>
      <w:r>
        <w:t xml:space="preserve">qoxqujjmfu (50 km).</w:t>
      </w:r>
    </w:p>
    <w:p>
      <w:pPr>
        <w:numPr>
          <w:ilvl w:val="0"/>
          <w:numId w:val="1005"/>
        </w:numPr>
        <w:pStyle w:val="Compact"/>
      </w:pPr>
      <w:r>
        <w:rPr>
          <w:bCs/>
          <w:b/>
        </w:rPr>
        <w:t xml:space="preserve">Last-Mile Emission Factor:</w:t>
      </w:r>
      <w:r>
        <w:t xml:space="preserve"> </w:t>
      </w:r>
      <w:r>
        <w:t xml:space="preserve">0.25 kg CO</w:t>
      </w:r>
      <w:r>
        <w:rPr>
          <w:vertAlign w:val="subscript"/>
        </w:rPr>
        <w:t xml:space="preserve">2</w:t>
      </w:r>
      <w:r>
        <w:t xml:space="preserve">e/km (for an average van up to 3.5 tonnes).</w:t>
      </w:r>
      <w:r>
        <w:t xml:space="preserve"> </w:t>
      </w:r>
      <w:r>
        <w:rPr>
          <w:iCs/>
          <w:i/>
        </w:rPr>
        <w:t xml:space="preserve">Note: This factor is applied per km of vehicle travel, assuming it represents the average impact allocated to a single product\'s delivery over that distance, or reflects a less-than-full load scenario for last-mile.</w:t>
      </w:r>
    </w:p>
    <w:p>
      <w:pPr>
        <w:numPr>
          <w:ilvl w:val="0"/>
          <w:numId w:val="1005"/>
        </w:numPr>
        <w:pStyle w:val="Compact"/>
      </w:pPr>
      <w:r>
        <w:rPr>
          <w:bCs/>
          <w:b/>
        </w:rPr>
        <w:t xml:space="preserve">Assumed Product Weight for Transport:</w:t>
      </w:r>
      <w:r>
        <w:t xml:space="preserve"> </w:t>
      </w:r>
      <w:r>
        <w:t xml:space="preserve">2.0 kg (total estimated product weight including packaging).</w:t>
      </w:r>
    </w:p>
    <w:bookmarkEnd w:id="28"/>
    <w:bookmarkStart w:id="29"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yxldnsxozr (5 years).</w:t>
      </w:r>
    </w:p>
    <w:p>
      <w:pPr>
        <w:numPr>
          <w:ilvl w:val="0"/>
          <w:numId w:val="1006"/>
        </w:numPr>
        <w:pStyle w:val="Compact"/>
      </w:pPr>
      <w:r>
        <w:rPr>
          <w:bCs/>
          <w:b/>
        </w:rPr>
        <w:t xml:space="preserve">Energy Consumption in Use:</w:t>
      </w:r>
      <w:r>
        <w:t xml:space="preserve"> </w:t>
      </w:r>
      <w:r>
        <w:t xml:space="preserve">sdkwitohqj (10 kWh/year).</w:t>
      </w:r>
    </w:p>
    <w:p>
      <w:pPr>
        <w:numPr>
          <w:ilvl w:val="0"/>
          <w:numId w:val="1006"/>
        </w:numPr>
        <w:pStyle w:val="Compact"/>
      </w:pPr>
      <w:r>
        <w:rPr>
          <w:bCs/>
          <w:b/>
        </w:rPr>
        <w:t xml:space="preserve">Average Electricity Emission Factor (Use Phase):</w:t>
      </w:r>
      <w:r>
        <w:t xml:space="preserve"> </w:t>
      </w:r>
      <w:r>
        <w:t xml:space="preserve">0.4 kg CO</w:t>
      </w:r>
      <w:r>
        <w:rPr>
          <w:vertAlign w:val="subscript"/>
        </w:rPr>
        <w:t xml:space="preserve">2</w:t>
      </w:r>
      <w:r>
        <w:t xml:space="preserve">e/kWh (assumed global average grid mix for product use).</w:t>
      </w:r>
    </w:p>
    <w:bookmarkEnd w:id="29"/>
    <w:bookmarkStart w:id="30"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iovoihdrkg (80%).</w:t>
      </w:r>
    </w:p>
    <w:p>
      <w:pPr>
        <w:numPr>
          <w:ilvl w:val="0"/>
          <w:numId w:val="1007"/>
        </w:numPr>
        <w:pStyle w:val="Compact"/>
      </w:pPr>
      <w:r>
        <w:rPr>
          <w:bCs/>
          <w:b/>
        </w:rPr>
        <w:t xml:space="preserve">Circular/Take-back Programs:</w:t>
      </w:r>
      <w:r>
        <w:t xml:space="preserve"> </w:t>
      </w:r>
      <w:r>
        <w:t xml:space="preserve">heqjomkivw (Yes, established take-back program).</w:t>
      </w:r>
    </w:p>
    <w:p>
      <w:pPr>
        <w:numPr>
          <w:ilvl w:val="0"/>
          <w:numId w:val="1007"/>
        </w:numPr>
        <w:pStyle w:val="Compact"/>
      </w:pPr>
      <w:r>
        <w:rPr>
          <w:bCs/>
          <w:b/>
        </w:rPr>
        <w:t xml:space="preserve">Non-recycled portion:</w:t>
      </w:r>
      <w:r>
        <w:t xml:space="preserve"> </w:t>
      </w:r>
      <w:r>
        <w:t xml:space="preserve">20%.</w:t>
      </w:r>
    </w:p>
    <w:p>
      <w:pPr>
        <w:numPr>
          <w:ilvl w:val="0"/>
          <w:numId w:val="1007"/>
        </w:numPr>
        <w:pStyle w:val="Compact"/>
      </w:pPr>
      <w:r>
        <w:rPr>
          <w:bCs/>
          <w:b/>
        </w:rPr>
        <w:t xml:space="preserve">EoL Emission Factor (Non-recycled waste):</w:t>
      </w:r>
      <w:r>
        <w:t xml:space="preserve"> </w:t>
      </w:r>
      <w:r>
        <w:t xml:space="preserve">1 kg CO</w:t>
      </w:r>
      <w:r>
        <w:rPr>
          <w:vertAlign w:val="subscript"/>
        </w:rPr>
        <w:t xml:space="preserve">2</w:t>
      </w:r>
      <w:r>
        <w:t xml:space="preserve">e/kg (for electronic waste to landfill/incineration, indicative).</w:t>
      </w:r>
    </w:p>
    <w:bookmarkEnd w:id="30"/>
    <w:bookmarkEnd w:id="31"/>
    <w:p>
      <w:r>
        <w:pict>
          <v:rect style="width:0;height:1.5pt" o:hralign="center" o:hrstd="t" o:hr="t"/>
        </w:pict>
      </w:r>
    </w:p>
    <w:bookmarkStart w:id="33" w:name="X439a6e6dcb43c636bf515ffaf3f59bce0bd6490"/>
    <w:p>
      <w:pPr>
        <w:pStyle w:val="Heading2"/>
      </w:pPr>
      <w:r>
        <w:t xml:space="preserve">3. Emission Calculation (Activity * Emission Factor = CO</w:t>
      </w:r>
      <w:r>
        <w:rPr>
          <w:vertAlign w:val="subscript"/>
        </w:rPr>
        <w:t xml:space="preserve">2</w:t>
      </w:r>
      <w:r>
        <w:t xml:space="preserve">e)</w:t>
      </w:r>
    </w:p>
    <w:p>
      <w:pPr>
        <w:pStyle w:val="FirstParagraph"/>
      </w:pPr>
      <w:r>
        <w:t xml:space="preserve">The following table summarizes the calculated emissions across the product\'s lifecycle, categorized by GHG Protocol scopes.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w:t>
            </w:r>
            <w:r>
              <w:rPr>
                <w:vertAlign w:val="subscript"/>
              </w:rPr>
              <w:t xml:space="preserve">2</w:t>
            </w:r>
            <w:r>
              <w:t xml:space="preserve">e Emissions (kg)</w:t>
            </w:r>
          </w:p>
        </w:tc>
        <w:tc>
          <w:tcPr/>
          <w:p>
            <w:pPr>
              <w:pStyle w:val="Compact"/>
              <w:jc w:val="left"/>
            </w:pPr>
            <w:r>
              <w:t xml:space="preserve">Notes</w:t>
            </w:r>
          </w:p>
        </w:tc>
      </w:tr>
      <w:tr>
        <w:tc>
          <w:tcPr/>
          <w:p>
            <w:pPr>
              <w:pStyle w:val="Compact"/>
              <w:jc w:val="left"/>
            </w:pPr>
            <w:r>
              <w:rPr>
                <w:bCs/>
                <w:b/>
              </w:rPr>
              <w:t xml:space="preserve">Materials Acquisition &amp; Processing</w:t>
            </w:r>
          </w:p>
        </w:tc>
        <w:tc>
          <w:tcPr/>
          <w:p>
            <w:pPr>
              <w:pStyle w:val="Compact"/>
              <w:jc w:val="left"/>
            </w:pPr>
            <w:r>
              <w:t xml:space="preserve">Scope 3 (Cat 1)</w:t>
            </w:r>
          </w:p>
        </w:tc>
        <w:tc>
          <w:tcPr/>
          <w:p>
            <w:pPr>
              <w:pStyle w:val="Compact"/>
              <w:jc w:val="left"/>
            </w:pPr>
            <w:r>
              <w:t xml:space="preserve">Sum of BOM material impacts</w:t>
            </w:r>
          </w:p>
        </w:tc>
        <w:tc>
          <w:tcPr/>
          <w:p>
            <w:pPr>
              <w:pStyle w:val="Compact"/>
              <w:jc w:val="left"/>
            </w:pPr>
            <w:r>
              <w:t xml:space="preserve">Provided within BOM</w:t>
            </w:r>
          </w:p>
        </w:tc>
        <w:tc>
          <w:tcPr/>
          <w:p>
            <w:pPr>
              <w:pStyle w:val="Compact"/>
              <w:jc w:val="left"/>
            </w:pPr>
            <w:r>
              <w:t xml:space="preserve">21.56</w:t>
            </w:r>
          </w:p>
        </w:tc>
        <w:tc>
          <w:tcPr/>
          <w:p>
            <w:pPr>
              <w:pStyle w:val="Compact"/>
              <w:jc w:val="left"/>
            </w:pPr>
            <w:r>
              <w:t xml:space="preserve">Based on detailed BOM (fqdvirhd).</w:t>
            </w:r>
          </w:p>
        </w:tc>
      </w:tr>
      <w:tr>
        <w:tc>
          <w:tcPr/>
          <w:p>
            <w:pPr>
              <w:pStyle w:val="Compact"/>
              <w:jc w:val="left"/>
            </w:pPr>
            <w:r>
              <w:rPr>
                <w:bCs/>
                <w:b/>
              </w:rPr>
              <w:t xml:space="preserve">Production (Electricity)</w:t>
            </w:r>
          </w:p>
        </w:tc>
        <w:tc>
          <w:tcPr/>
          <w:p>
            <w:pPr>
              <w:pStyle w:val="Compact"/>
              <w:jc w:val="left"/>
            </w:pPr>
            <w:r>
              <w:t xml:space="preserve">Scope 2</w:t>
            </w:r>
          </w:p>
        </w:tc>
        <w:tc>
          <w:tcPr/>
          <w:p>
            <w:pPr>
              <w:pStyle w:val="Compact"/>
              <w:jc w:val="left"/>
            </w:pPr>
            <w:r>
              <w:t xml:space="preserve">1.25 kWh/unit (non-renewable)</w:t>
            </w:r>
          </w:p>
        </w:tc>
        <w:tc>
          <w:tcPr/>
          <w:p>
            <w:pPr>
              <w:pStyle w:val="Compact"/>
              <w:jc w:val="left"/>
            </w:pPr>
            <w:r>
              <w:t xml:space="preserve">0.556 kg CO</w:t>
            </w:r>
            <w:r>
              <w:rPr>
                <w:vertAlign w:val="subscript"/>
              </w:rPr>
              <w:t xml:space="preserve">2</w:t>
            </w:r>
            <w:r>
              <w:t xml:space="preserve">e/kWh (China Grid)</w:t>
            </w:r>
          </w:p>
        </w:tc>
        <w:tc>
          <w:tcPr/>
          <w:p>
            <w:pPr>
              <w:pStyle w:val="Compact"/>
              <w:jc w:val="left"/>
            </w:pPr>
            <w:r>
              <w:t xml:space="preserve">0.695</w:t>
            </w:r>
          </w:p>
        </w:tc>
        <w:tc>
          <w:tcPr/>
          <w:p>
            <w:pPr>
              <w:pStyle w:val="Compact"/>
              <w:jc w:val="left"/>
            </w:pPr>
            <w:r>
              <w:t xml:space="preserve">For 25% non-renewable energy usage (5 kWh/unit * 0.25).</w:t>
            </w:r>
          </w:p>
        </w:tc>
      </w:tr>
      <w:tr>
        <w:tc>
          <w:tcPr/>
          <w:p>
            <w:pPr>
              <w:pStyle w:val="Compact"/>
              <w:jc w:val="left"/>
            </w:pPr>
            <w:r>
              <w:rPr>
                <w:bCs/>
                <w:b/>
              </w:rPr>
              <w:t xml:space="preserve">Upstream Transportation</w:t>
            </w:r>
          </w:p>
        </w:tc>
        <w:tc>
          <w:tcPr/>
          <w:p>
            <w:pPr>
              <w:pStyle w:val="Compact"/>
              <w:jc w:val="left"/>
            </w:pPr>
            <w:r>
              <w:t xml:space="preserve">Scope 3 (Cat 4)</w:t>
            </w:r>
          </w:p>
        </w:tc>
        <w:tc>
          <w:tcPr/>
          <w:p>
            <w:pPr>
              <w:pStyle w:val="Compact"/>
              <w:jc w:val="left"/>
            </w:pPr>
            <w:r>
              <w:t xml:space="preserve">2.0 kg product * 2000 km</w:t>
            </w:r>
          </w:p>
        </w:tc>
        <w:tc>
          <w:tcPr/>
          <w:p>
            <w:pPr>
              <w:pStyle w:val="Compact"/>
              <w:jc w:val="left"/>
            </w:pPr>
            <w:r>
              <w:t xml:space="preserve">0.1 kg CO</w:t>
            </w:r>
            <w:r>
              <w:rPr>
                <w:vertAlign w:val="subscript"/>
              </w:rPr>
              <w:t xml:space="preserve">2</w:t>
            </w:r>
            <w:r>
              <w:t xml:space="preserve">e/tonne-km</w:t>
            </w:r>
          </w:p>
        </w:tc>
        <w:tc>
          <w:tcPr/>
          <w:p>
            <w:pPr>
              <w:pStyle w:val="Compact"/>
              <w:jc w:val="left"/>
            </w:pPr>
            <w:r>
              <w:t xml:space="preserve">0.40</w:t>
            </w:r>
          </w:p>
        </w:tc>
        <w:tc>
          <w:tcPr/>
          <w:p>
            <w:pPr>
              <w:pStyle w:val="Compact"/>
              <w:jc w:val="left"/>
            </w:pPr>
            <w:r>
              <w:t xml:space="preserve">Road freight from Europe to China.</w:t>
            </w:r>
          </w:p>
        </w:tc>
      </w:tr>
      <w:tr>
        <w:tc>
          <w:tcPr/>
          <w:p>
            <w:pPr>
              <w:pStyle w:val="Compact"/>
              <w:jc w:val="left"/>
            </w:pPr>
            <w:r>
              <w:rPr>
                <w:bCs/>
                <w:b/>
              </w:rPr>
              <w:t xml:space="preserve">Downstream Transportation (Last-Mile)</w:t>
            </w:r>
          </w:p>
        </w:tc>
        <w:tc>
          <w:tcPr/>
          <w:p>
            <w:pPr>
              <w:pStyle w:val="Compact"/>
              <w:jc w:val="left"/>
            </w:pPr>
            <w:r>
              <w:t xml:space="preserve">Scope 3 (Cat 9)</w:t>
            </w:r>
          </w:p>
        </w:tc>
        <w:tc>
          <w:tcPr/>
          <w:p>
            <w:pPr>
              <w:pStyle w:val="Compact"/>
              <w:jc w:val="left"/>
            </w:pPr>
            <w:r>
              <w:t xml:space="preserve">1.0 unit * 50 km</w:t>
            </w:r>
          </w:p>
        </w:tc>
        <w:tc>
          <w:tcPr/>
          <w:p>
            <w:pPr>
              <w:pStyle w:val="Compact"/>
              <w:jc w:val="left"/>
            </w:pPr>
            <w:r>
              <w:t xml:space="preserve">0.25 kg CO</w:t>
            </w:r>
            <w:r>
              <w:rPr>
                <w:vertAlign w:val="subscript"/>
              </w:rPr>
              <w:t xml:space="preserve">2</w:t>
            </w:r>
            <w:r>
              <w:t xml:space="preserve">e/km (Parcel Van)</w:t>
            </w:r>
          </w:p>
        </w:tc>
        <w:tc>
          <w:tcPr/>
          <w:p>
            <w:pPr>
              <w:pStyle w:val="Compact"/>
              <w:jc w:val="left"/>
            </w:pPr>
            <w:r>
              <w:t xml:space="preserve">12.50</w:t>
            </w:r>
          </w:p>
        </w:tc>
        <w:tc>
          <w:tcPr/>
          <w:p>
            <w:pPr>
              <w:pStyle w:val="Compact"/>
              <w:jc w:val="left"/>
            </w:pPr>
            <w:r>
              <w:t xml:space="preserve">Standard Parcel Delivery.</w:t>
            </w:r>
          </w:p>
        </w:tc>
      </w:tr>
      <w:tr>
        <w:tc>
          <w:tcPr/>
          <w:p>
            <w:pPr>
              <w:pStyle w:val="Compact"/>
              <w:jc w:val="left"/>
            </w:pPr>
            <w:r>
              <w:rPr>
                <w:bCs/>
                <w:b/>
              </w:rPr>
              <w:t xml:space="preserve">Use Phase</w:t>
            </w:r>
          </w:p>
        </w:tc>
        <w:tc>
          <w:tcPr/>
          <w:p>
            <w:pPr>
              <w:pStyle w:val="Compact"/>
              <w:jc w:val="left"/>
            </w:pPr>
            <w:r>
              <w:t xml:space="preserve">Scope 3 (Cat 11)</w:t>
            </w:r>
          </w:p>
        </w:tc>
        <w:tc>
          <w:tcPr/>
          <w:p>
            <w:pPr>
              <w:pStyle w:val="Compact"/>
              <w:jc w:val="left"/>
            </w:pPr>
            <w:r>
              <w:t xml:space="preserve">50 kWh (10 kWh/year * 5 years)</w:t>
            </w:r>
          </w:p>
        </w:tc>
        <w:tc>
          <w:tcPr/>
          <w:p>
            <w:pPr>
              <w:pStyle w:val="Compact"/>
              <w:jc w:val="left"/>
            </w:pPr>
            <w:r>
              <w:t xml:space="preserve">0.4 kg CO</w:t>
            </w:r>
            <w:r>
              <w:rPr>
                <w:vertAlign w:val="subscript"/>
              </w:rPr>
              <w:t xml:space="preserve">2</w:t>
            </w:r>
            <w:r>
              <w:t xml:space="preserve">e/kWh (Avg. Grid)</w:t>
            </w:r>
          </w:p>
        </w:tc>
        <w:tc>
          <w:tcPr/>
          <w:p>
            <w:pPr>
              <w:pStyle w:val="Compact"/>
              <w:jc w:val="left"/>
            </w:pPr>
            <w:r>
              <w:t xml:space="preserve">20.00</w:t>
            </w:r>
          </w:p>
        </w:tc>
        <w:tc>
          <w:tcPr/>
          <w:p>
            <w:pPr>
              <w:pStyle w:val="Compact"/>
              <w:jc w:val="left"/>
            </w:pPr>
            <w:r>
              <w:t xml:space="preserve">Energy consumption over product lifespan.</w:t>
            </w:r>
          </w:p>
        </w:tc>
      </w:tr>
      <w:tr>
        <w:tc>
          <w:tcPr/>
          <w:p>
            <w:pPr>
              <w:pStyle w:val="Compact"/>
              <w:jc w:val="left"/>
            </w:pPr>
            <w:r>
              <w:rPr>
                <w:bCs/>
                <w:b/>
              </w:rPr>
              <w:t xml:space="preserve">End-of-Life Treatment</w:t>
            </w:r>
          </w:p>
        </w:tc>
        <w:tc>
          <w:tcPr/>
          <w:p>
            <w:pPr>
              <w:pStyle w:val="Compact"/>
              <w:jc w:val="left"/>
            </w:pPr>
            <w:r>
              <w:t xml:space="preserve">Scope 3 (Cat 12)</w:t>
            </w:r>
          </w:p>
        </w:tc>
        <w:tc>
          <w:tcPr/>
          <w:p>
            <w:pPr>
              <w:pStyle w:val="Compact"/>
              <w:jc w:val="left"/>
            </w:pPr>
            <w:r>
              <w:t xml:space="preserve">0.4 kg (20% of 2.0 kg product)</w:t>
            </w:r>
          </w:p>
        </w:tc>
        <w:tc>
          <w:tcPr/>
          <w:p>
            <w:pPr>
              <w:pStyle w:val="Compact"/>
              <w:jc w:val="left"/>
            </w:pPr>
            <w:r>
              <w:t xml:space="preserve">1 kg CO</w:t>
            </w:r>
            <w:r>
              <w:rPr>
                <w:vertAlign w:val="subscript"/>
              </w:rPr>
              <w:t xml:space="preserve">2</w:t>
            </w:r>
            <w:r>
              <w:t xml:space="preserve">e/kg (E-waste)</w:t>
            </w:r>
          </w:p>
        </w:tc>
        <w:tc>
          <w:tcPr/>
          <w:p>
            <w:pPr>
              <w:pStyle w:val="Compact"/>
              <w:jc w:val="left"/>
            </w:pPr>
            <w:r>
              <w:t xml:space="preserve">0.40</w:t>
            </w:r>
          </w:p>
        </w:tc>
        <w:tc>
          <w:tcPr/>
          <w:p>
            <w:pPr>
              <w:pStyle w:val="Compact"/>
              <w:jc w:val="left"/>
            </w:pPr>
            <w:r>
              <w:t xml:space="preserve">Emissions from non-recycled portion (20%). Recycling benefit implied by no emissions for 80% recycled.</w:t>
            </w:r>
          </w:p>
        </w:tc>
      </w:tr>
      <w:tr>
        <w:tc>
          <w:tcPr>
            <w:gridSpan w:val="4"/>
          </w:tcPr>
          <w:p>
            <w:pPr>
              <w:pStyle w:val="Compact"/>
              <w:jc w:val="right"/>
            </w:pPr>
            <w:r>
              <w:t xml:space="preserve">Total Product Carbon Footprint (PCF)</w:t>
            </w:r>
          </w:p>
        </w:tc>
        <w:tc>
          <w:tcPr/>
          <w:p>
            <w:pPr>
              <w:pStyle w:val="Compact"/>
              <w:jc w:val="left"/>
            </w:pPr>
            <w:r>
              <w:t xml:space="preserve">55.56</w:t>
            </w:r>
          </w:p>
        </w:tc>
        <w:tc>
          <w:tcPr/>
          <w:p>
            <w:pPr>
              <w:pStyle w:val="Compact"/>
            </w:pPr>
          </w:p>
        </w:tc>
      </w:tr>
    </w:tbl>
    <w:bookmarkStart w:id="32" w:name="total-pcf-summary-by-scope"/>
    <w:p>
      <w:pPr>
        <w:pStyle w:val="Heading3"/>
      </w:pPr>
      <w:r>
        <w:t xml:space="preserve">3.1. Total PCF Summary by Scope</w:t>
      </w:r>
    </w:p>
    <w:p>
      <w:pPr>
        <w:numPr>
          <w:ilvl w:val="0"/>
          <w:numId w:val="1008"/>
        </w:numPr>
        <w:pStyle w:val="Compact"/>
      </w:pPr>
      <w:r>
        <w:rPr>
          <w:bCs/>
          <w:b/>
        </w:rPr>
        <w:t xml:space="preserve">Scope 1 Emissions:</w:t>
      </w:r>
      <w:r>
        <w:t xml:space="preserve"> </w:t>
      </w:r>
      <w:r>
        <w:t xml:space="preserve">0.00 kg CO</w:t>
      </w:r>
      <w:r>
        <w:rPr>
          <w:vertAlign w:val="subscript"/>
        </w:rPr>
        <w:t xml:space="preserve">2</w:t>
      </w:r>
      <w:r>
        <w:t xml:space="preserve">e</w:t>
      </w:r>
    </w:p>
    <w:p>
      <w:pPr>
        <w:numPr>
          <w:ilvl w:val="0"/>
          <w:numId w:val="1008"/>
        </w:numPr>
        <w:pStyle w:val="Compact"/>
      </w:pPr>
      <w:r>
        <w:rPr>
          <w:bCs/>
          <w:b/>
        </w:rPr>
        <w:t xml:space="preserve">Scope 2 Emissions:</w:t>
      </w:r>
      <w:r>
        <w:t xml:space="preserve"> </w:t>
      </w:r>
      <w:r>
        <w:t xml:space="preserve">0.70 kg CO</w:t>
      </w:r>
      <w:r>
        <w:rPr>
          <w:vertAlign w:val="subscript"/>
        </w:rPr>
        <w:t xml:space="preserve">2</w:t>
      </w:r>
      <w:r>
        <w:t xml:space="preserve">e (1.26% of Total PCF)</w:t>
      </w:r>
    </w:p>
    <w:p>
      <w:pPr>
        <w:numPr>
          <w:ilvl w:val="0"/>
          <w:numId w:val="1008"/>
        </w:numPr>
        <w:pStyle w:val="Compact"/>
      </w:pPr>
      <w:r>
        <w:rPr>
          <w:bCs/>
          <w:b/>
        </w:rPr>
        <w:t xml:space="preserve">Scope 3 Emissions:</w:t>
      </w:r>
      <w:r>
        <w:t xml:space="preserve"> </w:t>
      </w:r>
      <w:r>
        <w:t xml:space="preserve">54.86 kg CO</w:t>
      </w:r>
      <w:r>
        <w:rPr>
          <w:vertAlign w:val="subscript"/>
        </w:rPr>
        <w:t xml:space="preserve">2</w:t>
      </w:r>
      <w:r>
        <w:t xml:space="preserve">e (98.74% of Total PCF)</w:t>
      </w:r>
    </w:p>
    <w:p>
      <w:pPr>
        <w:pStyle w:val="FirstParagraph"/>
      </w:pPr>
      <w:r>
        <w:t xml:space="preserve">The total Product Carbon Footprint for one unit of</w:t>
      </w:r>
      <w:r>
        <w:t xml:space="preserve"> </w:t>
      </w:r>
      <w:r>
        <w:rPr>
          <w:bCs/>
          <w:b/>
        </w:rPr>
        <w:t xml:space="preserve">uyjwddivjq</w:t>
      </w:r>
      <w:r>
        <w:t xml:space="preserve"> </w:t>
      </w:r>
      <w:r>
        <w:t xml:space="preserve">is</w:t>
      </w:r>
      <w:r>
        <w:t xml:space="preserve"> </w:t>
      </w:r>
      <w:r>
        <w:rPr>
          <w:bCs/>
          <w:b/>
        </w:rPr>
        <w:t xml:space="preserve">55.56 kg CO</w:t>
      </w:r>
      <w:r>
        <w:rPr>
          <w:vertAlign w:val="subscript"/>
          <w:bCs/>
          <w:b/>
        </w:rPr>
        <w:t xml:space="preserve">2</w:t>
      </w:r>
      <w:r>
        <w:rPr>
          <w:bCs/>
          <w:b/>
        </w:rPr>
        <w:t xml:space="preserve">e</w:t>
      </w:r>
      <w:r>
        <w:t xml:space="preserve">.</w:t>
      </w:r>
    </w:p>
    <w:bookmarkEnd w:id="32"/>
    <w:bookmarkEnd w:id="33"/>
    <w:p>
      <w:r>
        <w:pict>
          <v:rect style="width:0;height:1.5pt" o:hralign="center" o:hrstd="t" o:hr="t"/>
        </w:pict>
      </w:r>
    </w:p>
    <w:bookmarkStart w:id="37" w:name="review-report---hotspots-and-reliability"/>
    <w:p>
      <w:pPr>
        <w:pStyle w:val="Heading2"/>
      </w:pPr>
      <w:r>
        <w:t xml:space="preserve">4. Review &amp; Report - Hotspots and Reliability</w:t>
      </w:r>
    </w:p>
    <w:bookmarkStart w:id="34" w:name="emission-hotspots"/>
    <w:p>
      <w:pPr>
        <w:pStyle w:val="Heading3"/>
      </w:pPr>
      <w:r>
        <w:t xml:space="preserve">4.1. Emission Hotspots</w:t>
      </w:r>
    </w:p>
    <w:p>
      <w:pPr>
        <w:pStyle w:val="FirstParagraph"/>
      </w:pPr>
      <w:r>
        <w:t xml:space="preserve">The analysis identifies the following key emission hotspots for uyjwddivjq:</w:t>
      </w:r>
    </w:p>
    <w:p>
      <w:pPr>
        <w:numPr>
          <w:ilvl w:val="0"/>
          <w:numId w:val="1009"/>
        </w:numPr>
        <w:pStyle w:val="Compact"/>
      </w:pPr>
      <w:r>
        <w:rPr>
          <w:bCs/>
          <w:b/>
        </w:rPr>
        <w:t xml:space="preserve">Materials Acquisition &amp; Processing (38.8% of total PCF):</w:t>
      </w:r>
      <w:r>
        <w:t xml:space="preserve"> </w:t>
      </w:r>
      <w:r>
        <w:t xml:space="preserve">The raw materials, particularly the Circuit Board (PCBA) and Aluminum Casing, represent the largest single contributor to the PCF. This highlights the high embedded carbon associated with electronics manufacturing and primary metal production.</w:t>
      </w:r>
    </w:p>
    <w:p>
      <w:pPr>
        <w:numPr>
          <w:ilvl w:val="0"/>
          <w:numId w:val="1009"/>
        </w:numPr>
        <w:pStyle w:val="Compact"/>
      </w:pPr>
      <w:r>
        <w:rPr>
          <w:bCs/>
          <w:b/>
        </w:rPr>
        <w:t xml:space="preserve">Use Phase (36.0% of total PCF):</w:t>
      </w:r>
      <w:r>
        <w:t xml:space="preserve"> </w:t>
      </w:r>
      <w:r>
        <w:t xml:space="preserve">The energy consumption during the 5-year product lifespan is a significant hotspot, underscoring the importance of energy efficiency in product design and user behavior.</w:t>
      </w:r>
    </w:p>
    <w:p>
      <w:pPr>
        <w:numPr>
          <w:ilvl w:val="0"/>
          <w:numId w:val="1009"/>
        </w:numPr>
        <w:pStyle w:val="Compact"/>
      </w:pPr>
      <w:r>
        <w:rPr>
          <w:bCs/>
          <w:b/>
        </w:rPr>
        <w:t xml:space="preserve">Downstream Transportation (22.5% of total PCF):</w:t>
      </w:r>
      <w:r>
        <w:t xml:space="preserve"> </w:t>
      </w:r>
      <w:r>
        <w:t xml:space="preserve">Last-mile delivery, as calculated, contributes a substantial portion, suggesting potential inefficiencies or the high impact of individualized parcel delivery. Optimization of logistics, route planning, and consolidated deliveries could offer significant reductions.</w:t>
      </w:r>
    </w:p>
    <w:bookmarkEnd w:id="34"/>
    <w:bookmarkStart w:id="35" w:name="data-reliability-assumptions"/>
    <w:p>
      <w:pPr>
        <w:pStyle w:val="Heading3"/>
      </w:pPr>
      <w:r>
        <w:t xml:space="preserve">4.2. Data Reliability &amp; Assumptions</w:t>
      </w:r>
    </w:p>
    <w:p>
      <w:pPr>
        <w:pStyle w:val="FirstParagraph"/>
      </w:pPr>
      <w:r>
        <w:t xml:space="preserve">The reliability of this PCF analysis is contingent upon the accuracy of the input parameters and selected emission factors. Key considerations include:</w:t>
      </w:r>
    </w:p>
    <w:p>
      <w:pPr>
        <w:numPr>
          <w:ilvl w:val="0"/>
          <w:numId w:val="1010"/>
        </w:numPr>
        <w:pStyle w:val="Compact"/>
      </w:pPr>
      <w:r>
        <w:rPr>
          <w:bCs/>
          <w:b/>
        </w:rPr>
        <w:t xml:space="preserve">BOM Data:</w:t>
      </w:r>
      <w:r>
        <w:t xml:space="preserve"> </w:t>
      </w:r>
      <w:r>
        <w:t xml:space="preserve">The provided \'Total Carbon\' values in the BOM are assumed to be accurate and representative of the materials\' embedded emissions.</w:t>
      </w:r>
    </w:p>
    <w:p>
      <w:pPr>
        <w:numPr>
          <w:ilvl w:val="0"/>
          <w:numId w:val="1010"/>
        </w:numPr>
        <w:pStyle w:val="Compact"/>
      </w:pPr>
      <w:r>
        <w:rPr>
          <w:bCs/>
          <w:b/>
        </w:rPr>
        <w:t xml:space="preserve">Emission Factors:</w:t>
      </w:r>
      <w:r>
        <w:t xml:space="preserve"> </w:t>
      </w:r>
      <w:r>
        <w:t xml:space="preserve">Industry-average emission factors from sources reflecting Ecoinvent/DEFRA principles were used for electricity, transportation, and end-of-life processes due to the lack of company-specific primary data for every stage. These factors are good approximations but may not capture highly specific supplier or regional nuances.</w:t>
      </w:r>
    </w:p>
    <w:p>
      <w:pPr>
        <w:numPr>
          <w:ilvl w:val="0"/>
          <w:numId w:val="1010"/>
        </w:numPr>
        <w:pStyle w:val="Compact"/>
      </w:pPr>
      <w:r>
        <w:rPr>
          <w:bCs/>
          <w:b/>
        </w:rPr>
        <w:t xml:space="preserve">Transport Assumptions:</w:t>
      </w:r>
      <w:r>
        <w:t xml:space="preserve"> </w:t>
      </w:r>
      <w:r>
        <w:t xml:space="preserve">Assumed distances and specific transport modes (Road Freight, Parcel Van) along with their corresponding emission factors. The last-mile delivery factor is a point of simplification that might benefit from more granular data.</w:t>
      </w:r>
    </w:p>
    <w:p>
      <w:pPr>
        <w:numPr>
          <w:ilvl w:val="0"/>
          <w:numId w:val="1010"/>
        </w:numPr>
        <w:pStyle w:val="Compact"/>
      </w:pPr>
      <w:r>
        <w:rPr>
          <w:bCs/>
          <w:b/>
        </w:rPr>
        <w:t xml:space="preserve">Use Phase Electricity:</w:t>
      </w:r>
      <w:r>
        <w:t xml:space="preserve"> </w:t>
      </w:r>
      <w:r>
        <w:t xml:space="preserve">An average global grid mix factor was used for the use phase, which can vary significantly depending on the actual geographical location of product use.</w:t>
      </w:r>
    </w:p>
    <w:p>
      <w:pPr>
        <w:numPr>
          <w:ilvl w:val="0"/>
          <w:numId w:val="1010"/>
        </w:numPr>
        <w:pStyle w:val="Compact"/>
      </w:pPr>
      <w:r>
        <w:rPr>
          <w:bCs/>
          <w:b/>
        </w:rPr>
        <w:t xml:space="preserve">End-of-Life:</w:t>
      </w:r>
      <w:r>
        <w:t xml:space="preserve"> </w:t>
      </w:r>
      <w:r>
        <w:t xml:space="preserve">The EoL calculation assumes an 80% recycling rate and a simplified emission factor for the non-recycled portion. The "established take-back program" indicates a strong circular economy commitment by gyeemixsrn.</w:t>
      </w:r>
    </w:p>
    <w:bookmarkEnd w:id="35"/>
    <w:bookmarkStart w:id="36" w:name="recommendations-for-emission-reduction"/>
    <w:p>
      <w:pPr>
        <w:pStyle w:val="Heading3"/>
      </w:pPr>
      <w:r>
        <w:t xml:space="preserve">4.3. Recommendations for Emission Reduction</w:t>
      </w:r>
    </w:p>
    <w:p>
      <w:pPr>
        <w:pStyle w:val="FirstParagraph"/>
      </w:pPr>
      <w:r>
        <w:t xml:space="preserve">Based on the hotspot analysis,</w:t>
      </w:r>
      <w:r>
        <w:t xml:space="preserve"> </w:t>
      </w:r>
      <w:r>
        <w:rPr>
          <w:bCs/>
          <w:b/>
        </w:rPr>
        <w:t xml:space="preserve">gyeemixsrn</w:t>
      </w:r>
      <w:r>
        <w:t xml:space="preserve"> </w:t>
      </w:r>
      <w:r>
        <w:t xml:space="preserve">can focus on the following strategies to reduce the PCF of uyjwddivjq:</w:t>
      </w:r>
    </w:p>
    <w:p>
      <w:pPr>
        <w:numPr>
          <w:ilvl w:val="0"/>
          <w:numId w:val="1011"/>
        </w:numPr>
        <w:pStyle w:val="Compact"/>
      </w:pPr>
      <w:r>
        <w:rPr>
          <w:bCs/>
          <w:b/>
        </w:rPr>
        <w:t xml:space="preserve">Material Optimization:</w:t>
      </w:r>
    </w:p>
    <w:p>
      <w:pPr>
        <w:numPr>
          <w:ilvl w:val="1"/>
          <w:numId w:val="1012"/>
        </w:numPr>
        <w:pStyle w:val="Compact"/>
      </w:pPr>
      <w:r>
        <w:t xml:space="preserve">Investigate opportunities for using lower-carbon alternative materials or increasing the recycled content in the Aluminum Casing, ABS Plastic Enclosure, and other components.</w:t>
      </w:r>
    </w:p>
    <w:p>
      <w:pPr>
        <w:numPr>
          <w:ilvl w:val="1"/>
          <w:numId w:val="1012"/>
        </w:numPr>
        <w:pStyle w:val="Compact"/>
      </w:pPr>
      <w:r>
        <w:t xml:space="preserve">Engage with suppliers of high-impact components (e.g., Circuit Board, Lithium-ion Battery) to understand and reduce their upstream emissions.</w:t>
      </w:r>
    </w:p>
    <w:p>
      <w:pPr>
        <w:numPr>
          <w:ilvl w:val="0"/>
          <w:numId w:val="1011"/>
        </w:numPr>
        <w:pStyle w:val="Compact"/>
      </w:pPr>
      <w:r>
        <w:rPr>
          <w:bCs/>
          <w:b/>
        </w:rPr>
        <w:t xml:space="preserve">Enhance Product Energy Efficiency:</w:t>
      </w:r>
    </w:p>
    <w:p>
      <w:pPr>
        <w:numPr>
          <w:ilvl w:val="1"/>
          <w:numId w:val="1013"/>
        </w:numPr>
        <w:pStyle w:val="Compact"/>
      </w:pPr>
      <w:r>
        <w:t xml:space="preserve">Further optimize the energy consumption of uyjwddivjq during its use phase through innovative design and more efficient components.</w:t>
      </w:r>
    </w:p>
    <w:p>
      <w:pPr>
        <w:numPr>
          <w:ilvl w:val="1"/>
          <w:numId w:val="1013"/>
        </w:numPr>
        <w:pStyle w:val="Compact"/>
      </w:pPr>
      <w:r>
        <w:t xml:space="preserve">Provide clear guidance to consumers on energy-efficient usage patterns.</w:t>
      </w:r>
    </w:p>
    <w:p>
      <w:pPr>
        <w:numPr>
          <w:ilvl w:val="0"/>
          <w:numId w:val="1011"/>
        </w:numPr>
        <w:pStyle w:val="Compact"/>
      </w:pPr>
      <w:r>
        <w:rPr>
          <w:bCs/>
          <w:b/>
        </w:rPr>
        <w:t xml:space="preserve">Logistics Streamlining:</w:t>
      </w:r>
    </w:p>
    <w:p>
      <w:pPr>
        <w:numPr>
          <w:ilvl w:val="1"/>
          <w:numId w:val="1014"/>
        </w:numPr>
        <w:pStyle w:val="Compact"/>
      </w:pPr>
      <w:r>
        <w:t xml:space="preserve">Optimize transport routes and modes for both upstream and downstream logistics, prioritizing lower-emission options (e.g., rail or sea freight where feasible).</w:t>
      </w:r>
    </w:p>
    <w:p>
      <w:pPr>
        <w:numPr>
          <w:ilvl w:val="1"/>
          <w:numId w:val="1014"/>
        </w:numPr>
        <w:pStyle w:val="Compact"/>
      </w:pPr>
      <w:r>
        <w:t xml:space="preserve">Explore strategies for improving load factors and consolidating last-mile deliveries to reduce per-unit emissions.</w:t>
      </w:r>
    </w:p>
    <w:p>
      <w:pPr>
        <w:numPr>
          <w:ilvl w:val="0"/>
          <w:numId w:val="1011"/>
        </w:numPr>
        <w:pStyle w:val="Compact"/>
      </w:pPr>
      <w:r>
        <w:rPr>
          <w:bCs/>
          <w:b/>
        </w:rPr>
        <w:t xml:space="preserve">Circular Economy Initiatives:</w:t>
      </w:r>
    </w:p>
    <w:p>
      <w:pPr>
        <w:numPr>
          <w:ilvl w:val="1"/>
          <w:numId w:val="1015"/>
        </w:numPr>
        <w:pStyle w:val="Compact"/>
      </w:pPr>
      <w:r>
        <w:t xml:space="preserve">Continue to strengthen and promote the existing circular/take-back programs to maximize product lifespan, reuse, and high-quality recycling.</w:t>
      </w:r>
    </w:p>
    <w:p>
      <w:pPr>
        <w:numPr>
          <w:ilvl w:val="1"/>
          <w:numId w:val="1015"/>
        </w:numPr>
        <w:pStyle w:val="Compact"/>
      </w:pPr>
      <w:r>
        <w:t xml:space="preserve">Explore design-for-disassembly and repairability to further enhance circularity and reduce EoL impacts.</w:t>
      </w:r>
    </w:p>
    <w:p>
      <w:pPr>
        <w:numPr>
          <w:ilvl w:val="0"/>
          <w:numId w:val="1011"/>
        </w:numPr>
        <w:pStyle w:val="Compact"/>
      </w:pPr>
      <w:r>
        <w:rPr>
          <w:bCs/>
          <w:b/>
        </w:rPr>
        <w:t xml:space="preserve">Renewable Energy Sourcing:</w:t>
      </w:r>
    </w:p>
    <w:p>
      <w:pPr>
        <w:numPr>
          <w:ilvl w:val="1"/>
          <w:numId w:val="1016"/>
        </w:numPr>
        <w:pStyle w:val="Compact"/>
      </w:pPr>
      <w:r>
        <w:t xml:space="preserve">Increase the percentage of renewable energy used in the production facilities beyond the current 75% to further minimize Scope 2 emissions.</w:t>
      </w:r>
    </w:p>
    <w:p>
      <w:pPr>
        <w:numPr>
          <w:ilvl w:val="1"/>
          <w:numId w:val="1016"/>
        </w:numPr>
        <w:pStyle w:val="Compact"/>
      </w:pPr>
      <w:r>
        <w:t xml:space="preserve">Encourage supply chain partners to transition to renewable energy sources.</w:t>
      </w:r>
    </w:p>
    <w:bookmarkEnd w:id="36"/>
    <w:bookmarkEnd w:id="3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uyjwddivjq</dc:title>
  <dc:creator/>
  <dc:description>High-detail Product Carbon Footprint (PCF) analysis report for uyjwddivjq by gyeemixsrn, specializing in GHG Protocol and lifecycle emissions assessment.</dc:description>
  <dc:language>en</dc:language>
  <cp:keywords/>
  <dcterms:created xsi:type="dcterms:W3CDTF">2026-07-15T18:44:29Z</dcterms:created>
  <dcterms:modified xsi:type="dcterms:W3CDTF">2026-07-15T18:44:29Z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