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uyenzfwyre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uyenzfwyre</w:t>
      </w:r>
    </w:p>
    <w:p>
      <w:pPr>
        <w:pStyle w:val="BodyText"/>
      </w:pPr>
      <w:r>
        <w:rPr>
          <w:bCs/>
          <w:b/>
        </w:rPr>
        <w:t xml:space="preserve">Company Name:</w:t>
      </w:r>
      <w:r>
        <w:t xml:space="preserve"> </w:t>
      </w:r>
      <w:r>
        <w:t xml:space="preserve">etifmkxneg</w:t>
      </w:r>
    </w:p>
    <w:p>
      <w:pPr>
        <w:pStyle w:val="BodyText"/>
      </w:pPr>
      <w:r>
        <w:rPr>
          <w:bCs/>
          <w:b/>
        </w:rPr>
        <w:t xml:space="preserve">Senior Sustainability Consultant:</w:t>
      </w:r>
      <w:r>
        <w:t xml:space="preserve"> </w:t>
      </w:r>
      <w:r>
        <w:t xml:space="preserve">wmfyvoumku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values may vary based on primary data availability and regional differences in emission factors. This analysis serves as an estimation for strategic decision-making.</w:t>
      </w:r>
    </w:p>
    <w:bookmarkEnd w:id="20"/>
    <w:bookmarkStart w:id="21" w:name="Xbcce085962465b893a668ddc83cbadcbd9c91a9"/>
    <w:p>
      <w:pPr>
        <w:pStyle w:val="Heading1"/>
      </w:pPr>
      <w:r>
        <w:t xml:space="preserve">Product Carbon Footprint Analysis for uyenzfwyre</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wmfyvoumku</w:t>
      </w:r>
    </w:p>
    <w:p>
      <w:pPr>
        <w:pStyle w:val="BodyText"/>
      </w:pPr>
      <w:r>
        <w:rPr>
          <w:bCs/>
          <w:b/>
        </w:rPr>
        <w:t xml:space="preserve">Company:</w:t>
      </w:r>
      <w:r>
        <w:t xml:space="preserve"> </w:t>
      </w:r>
      <w:r>
        <w:t xml:space="preserve">etifmkxneg</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"uyenzfwyre", manufactured by etifmkxneg. The analysis was conducted by wmfyvoumku, Senior Sustainability Consultant, following the Greenhouse Gas (GHG) Protocol standards, including the 2026 Land Sector and Removals (LSR) update. The total cradle-to-grave carbon footprint for one functional unit of uyenzfwyre is calculated to be</w:t>
      </w:r>
      <w:r>
        <w:t xml:space="preserve"> </w:t>
      </w:r>
      <w:r>
        <w:rPr>
          <w:bCs/>
          <w:b/>
        </w:rPr>
        <w:t xml:space="preserve">19.64 kgCO2e</w:t>
      </w:r>
      <w:r>
        <w:t xml:space="preserve">. The primary hotspots identified are the use phase, material acquisition, and manufacturing energy. Recommendations for emission reduction strategies are also outlined.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uyenzfwyre.</w:t>
      </w:r>
    </w:p>
    <w:p>
      <w:pPr>
        <w:numPr>
          <w:ilvl w:val="0"/>
          <w:numId w:val="1001"/>
        </w:numPr>
        <w:pStyle w:val="Compact"/>
      </w:pPr>
      <w:r>
        <w:rPr>
          <w:bCs/>
          <w:b/>
        </w:rPr>
        <w:t xml:space="preserve">System Boundary:</w:t>
      </w:r>
      <w:r>
        <w:t xml:space="preserve"> </w:t>
      </w:r>
      <w:r>
        <w:t xml:space="preserve">Cradle-to-grave, specifically using a "factory_gate" boundary for initial assessment and then expanding to include downstream emissions. This encompasses raw material extraction, manufacturing, transportation (inbound and outbound), the product\'s use phase, and its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 factors are specific to China, while upstream supply chain activities are considered with a European focus for data availability and relevance. User phase and End-of-Life are considered globally or with average factors where specific regional data is unavailable.</w:t>
      </w:r>
    </w:p>
    <w:p>
      <w:pPr>
        <w:numPr>
          <w:ilvl w:val="0"/>
          <w:numId w:val="1001"/>
        </w:numPr>
        <w:pStyle w:val="Compact"/>
      </w:pPr>
      <w:r>
        <w:rPr>
          <w:bCs/>
          <w:b/>
        </w:rPr>
        <w:t xml:space="preserve">Accounting Standard:</w:t>
      </w:r>
      <w:r>
        <w:t xml:space="preserve"> </w:t>
      </w:r>
      <w:r>
        <w:t xml:space="preserve">The analysis strictly adheres to the GHG Protocol Product Life Cycle Accounting and Reporting Standard. Emissions are categorized into Scope 1 (direct), Scope 2 (purchased energy), and Scope 3 (value chain) for transparent reporting.</w:t>
      </w:r>
    </w:p>
    <w:p>
      <w:pPr>
        <w:numPr>
          <w:ilvl w:val="0"/>
          <w:numId w:val="1001"/>
        </w:numPr>
        <w:pStyle w:val="Compact"/>
      </w:pPr>
      <w:r>
        <w:rPr>
          <w:bCs/>
          <w:b/>
        </w:rPr>
        <w:t xml:space="preserve">Allocation:</w:t>
      </w:r>
      <w:r>
        <w:t xml:space="preserve"> </w:t>
      </w:r>
      <w:r>
        <w:t xml:space="preserve">For multi-product processes or waste streams, mass-based allocation is applied where appropriate. For this specific product, direct allocation is assumed for its primary lifecycle.</w:t>
      </w:r>
    </w:p>
    <w:p>
      <w:r>
        <w:pict>
          <v:rect style="width:0;height:1.5pt" o:hralign="center" o:hrstd="t" o:hr="t"/>
        </w:pict>
      </w:r>
    </w:p>
    <w:bookmarkEnd w:id="23"/>
    <w:bookmarkStart w:id="32" w:name="X07cf0ea829f60a4f8fa47c00f72a11793fbe483"/>
    <w:p>
      <w:pPr>
        <w:pStyle w:val="Heading2"/>
      </w:pPr>
      <w:r>
        <w:t xml:space="preserve">2. Lifecycle Mapping (LCI Inventory Stages) &amp; 3. Data Collection</w:t>
      </w:r>
    </w:p>
    <w:p>
      <w:pPr>
        <w:pStyle w:val="FirstParagraph"/>
      </w:pPr>
      <w:r>
        <w:t xml:space="preserve">The lifecycle of uyenzfwyre is mapped through the following stages, and data has been collected from both primary (provided parameters) and secondary (industry-standard emission factors) sources.</w:t>
      </w:r>
    </w:p>
    <w:bookmarkStart w:id="25" w:name="X1c858762ee98f0d0bf8c978d12e31ca52fad004"/>
    <w:p>
      <w:pPr>
        <w:pStyle w:val="Heading3"/>
      </w:pPr>
      <w:r>
        <w:t xml:space="preserve">2.1. Material Acquisition &amp; Processing (Upstream - Scope 3)</w:t>
      </w:r>
    </w:p>
    <w:p>
      <w:pPr>
        <w:pStyle w:val="FirstParagraph"/>
      </w:pPr>
      <w:r>
        <w:t xml:space="preserve">This stage accounts for the emissions associated with the extraction, processing, and manufacturing of all raw materials and components listed in the Detailed Bill of Materials (BOM). The provided \'Total Carbon\' values in the BOM are directly used for high-accuracy material impact calculation.</w:t>
      </w:r>
    </w:p>
    <w:bookmarkStart w:id="24" w:name="Xe031434453a7f92ddd1d891ee72239bfb65319a"/>
    <w:p>
      <w:pPr>
        <w:pStyle w:val="Heading4"/>
      </w:pPr>
      <w:r>
        <w:t xml:space="preserve">Detailed Bill of Materials (BOM) &amp; Material Impact:</w:t>
      </w:r>
    </w:p>
    <w:p>
      <w:pPr>
        <w:pStyle w:val="FirstParagraph"/>
      </w:pPr>
      <w:r>
        <w:t xml:space="preserve">Detailed Bill of Materials (BOM): fqmvosme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Chemical/Electrical</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Formulation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0.06</w:t>
            </w:r>
          </w:p>
        </w:tc>
      </w:tr>
      <w:tr>
        <w:tc>
          <w:tcPr>
            <w:gridSpan w:val="7"/>
          </w:tcPr>
          <w:p>
            <w:pPr>
              <w:pStyle w:val="Compact"/>
              <w:jc w:val="right"/>
            </w:pPr>
            <w:r>
              <w:t xml:space="preserve">Total Material Emissions:</w:t>
            </w:r>
          </w:p>
        </w:tc>
        <w:tc>
          <w:tcPr/>
          <w:p>
            <w:pPr>
              <w:pStyle w:val="Compact"/>
              <w:jc w:val="left"/>
            </w:pPr>
            <w:r>
              <w:t xml:space="preserve">5.09 kgCO2e</w:t>
            </w:r>
          </w:p>
        </w:tc>
      </w:tr>
    </w:tbl>
    <w:bookmarkEnd w:id="24"/>
    <w:bookmarkEnd w:id="25"/>
    <w:bookmarkStart w:id="26" w:name="manufacturing-factory-gate---scope-1-2"/>
    <w:p>
      <w:pPr>
        <w:pStyle w:val="Heading3"/>
      </w:pPr>
      <w:r>
        <w:t xml:space="preserve">2.2. Manufacturing (Factory Gate - Scope 1 &amp; 2)</w:t>
      </w:r>
    </w:p>
    <w:p>
      <w:pPr>
        <w:pStyle w:val="FirstParagraph"/>
      </w:pPr>
      <w:r>
        <w:t xml:space="preserve">This stage covers the energy consumption during the assembly and production of uyenzfwyre at the etifmkxneg facility in China.</w:t>
      </w:r>
    </w:p>
    <w:p>
      <w:pPr>
        <w:numPr>
          <w:ilvl w:val="0"/>
          <w:numId w:val="1002"/>
        </w:numPr>
        <w:pStyle w:val="Compact"/>
      </w:pPr>
      <w:r>
        <w:rPr>
          <w:bCs/>
          <w:b/>
        </w:rPr>
        <w:t xml:space="preserve">Energy Intensity (kWh/unit):</w:t>
      </w:r>
      <w:r>
        <w:t xml:space="preserve"> </w:t>
      </w:r>
      <w:r>
        <w:t xml:space="preserve">vxnpvupphq (18 kWh/unit)</w:t>
      </w:r>
    </w:p>
    <w:p>
      <w:pPr>
        <w:numPr>
          <w:ilvl w:val="0"/>
          <w:numId w:val="1002"/>
        </w:numPr>
        <w:pStyle w:val="Compact"/>
      </w:pPr>
      <w:r>
        <w:rPr>
          <w:bCs/>
          <w:b/>
        </w:rPr>
        <w:t xml:space="preserve">Renewable Energy Usage:</w:t>
      </w:r>
      <w:r>
        <w:t xml:space="preserve"> </w:t>
      </w:r>
      <w:r>
        <w:t xml:space="preserve">fvuqjqeflf (60%)</w:t>
      </w:r>
    </w:p>
    <w:p>
      <w:pPr>
        <w:numPr>
          <w:ilvl w:val="0"/>
          <w:numId w:val="1002"/>
        </w:numPr>
        <w:pStyle w:val="Compact"/>
      </w:pPr>
      <w:r>
        <w:rPr>
          <w:bCs/>
          <w:b/>
        </w:rPr>
        <w:t xml:space="preserve">Non-renewable Electricity Consumption:</w:t>
      </w:r>
      <w:r>
        <w:t xml:space="preserve"> </w:t>
      </w:r>
      <w:r>
        <w:t xml:space="preserve">18 kWh/unit * (1 - 0.60) = 7.2 kWh/unit</w:t>
      </w:r>
    </w:p>
    <w:p>
      <w:pPr>
        <w:numPr>
          <w:ilvl w:val="0"/>
          <w:numId w:val="1002"/>
        </w:numPr>
        <w:pStyle w:val="Compact"/>
      </w:pPr>
      <w:r>
        <w:rPr>
          <w:bCs/>
          <w:b/>
        </w:rPr>
        <w:t xml:space="preserve">China Grid Emission Factor:</w:t>
      </w:r>
      <w:r>
        <w:t xml:space="preserve"> </w:t>
      </w:r>
      <w:r>
        <w:t xml:space="preserve">0.6205 kgCO2e/kWh (2023 national average)</w:t>
      </w:r>
    </w:p>
    <w:bookmarkEnd w:id="26"/>
    <w:bookmarkStart w:id="28" w:name="transportation-scope-3"/>
    <w:p>
      <w:pPr>
        <w:pStyle w:val="Heading3"/>
      </w:pPr>
      <w:r>
        <w:t xml:space="preserve">2.3. Transportation (Scope 3)</w:t>
      </w:r>
    </w:p>
    <w:p>
      <w:pPr>
        <w:pStyle w:val="FirstParagraph"/>
      </w:pPr>
      <w:r>
        <w:t xml:space="preserve">This includes both upstream (inbound logistics of raw materials) and downstream (outbound logistics of finished products) transportation.</w:t>
      </w:r>
    </w:p>
    <w:p>
      <w:pPr>
        <w:numPr>
          <w:ilvl w:val="0"/>
          <w:numId w:val="1003"/>
        </w:numPr>
        <w:pStyle w:val="Compact"/>
      </w:pPr>
      <w:r>
        <w:rPr>
          <w:bCs/>
          <w:b/>
        </w:rPr>
        <w:t xml:space="preserve">Transport Mode (Inbound):</w:t>
      </w:r>
      <w:r>
        <w:t xml:space="preserve"> </w:t>
      </w:r>
      <w:r>
        <w:t xml:space="preserve">Ocean Freight (Container Ship)</w:t>
      </w:r>
    </w:p>
    <w:p>
      <w:pPr>
        <w:numPr>
          <w:ilvl w:val="0"/>
          <w:numId w:val="1003"/>
        </w:numPr>
        <w:pStyle w:val="Compact"/>
      </w:pPr>
      <w:r>
        <w:rPr>
          <w:bCs/>
          <w:b/>
        </w:rPr>
        <w:t xml:space="preserve">Transport Distance (Inbound):</w:t>
      </w:r>
      <w:r>
        <w:t xml:space="preserve"> </w:t>
      </w:r>
      <w:r>
        <w:t xml:space="preserve">12,000 km (average for raw materials to factory)</w:t>
      </w:r>
    </w:p>
    <w:p>
      <w:pPr>
        <w:numPr>
          <w:ilvl w:val="0"/>
          <w:numId w:val="1003"/>
        </w:numPr>
        <w:pStyle w:val="Compact"/>
      </w:pPr>
      <w:r>
        <w:rPr>
          <w:bCs/>
          <w:b/>
        </w:rPr>
        <w:t xml:space="preserve">Transport Mode (Outbound to Distribution):</w:t>
      </w:r>
      <w:r>
        <w:t xml:space="preserve"> </w:t>
      </w:r>
      <w:r>
        <w:t xml:space="preserve">Road Freight - HGV</w:t>
      </w:r>
    </w:p>
    <w:p>
      <w:pPr>
        <w:numPr>
          <w:ilvl w:val="0"/>
          <w:numId w:val="1003"/>
        </w:numPr>
        <w:pStyle w:val="Compact"/>
      </w:pPr>
      <w:r>
        <w:rPr>
          <w:bCs/>
          <w:b/>
        </w:rPr>
        <w:t xml:space="preserve">Transport Distance (Outbound to Distribution):</w:t>
      </w:r>
      <w:r>
        <w:t xml:space="preserve"> </w:t>
      </w:r>
      <w:r>
        <w:t xml:space="preserve">500 km (from factory to initial distribution center)</w:t>
      </w:r>
    </w:p>
    <w:p>
      <w:pPr>
        <w:numPr>
          <w:ilvl w:val="0"/>
          <w:numId w:val="1003"/>
        </w:numPr>
        <w:pStyle w:val="Compact"/>
      </w:pPr>
      <w:r>
        <w:rPr>
          <w:bCs/>
          <w:b/>
        </w:rPr>
        <w:t xml:space="preserve">Last-Mile Delivery Channel:</w:t>
      </w:r>
      <w:r>
        <w:t xml:space="preserve"> </w:t>
      </w:r>
      <w:r>
        <w:t xml:space="preserve">Road Freight (Light Commercial Vehicle)</w:t>
      </w:r>
    </w:p>
    <w:p>
      <w:pPr>
        <w:numPr>
          <w:ilvl w:val="0"/>
          <w:numId w:val="1003"/>
        </w:numPr>
        <w:pStyle w:val="Compact"/>
      </w:pPr>
      <w:r>
        <w:rPr>
          <w:bCs/>
          <w:b/>
        </w:rPr>
        <w:t xml:space="preserve">Last-Mile Delivery Impact:</w:t>
      </w:r>
      <w:r>
        <w:t xml:space="preserve"> </w:t>
      </w:r>
      <w:r>
        <w:t xml:space="preserve">Estimated average per unit.</w:t>
      </w:r>
    </w:p>
    <w:p>
      <w:pPr>
        <w:numPr>
          <w:ilvl w:val="0"/>
          <w:numId w:val="1003"/>
        </w:numPr>
        <w:pStyle w:val="Compact"/>
      </w:pPr>
      <w:r>
        <w:rPr>
          <w:bCs/>
          <w:b/>
        </w:rPr>
        <w:t xml:space="preserve">Total Product Weight (for transport and EoL):</w:t>
      </w:r>
      <w:r>
        <w:t xml:space="preserve"> </w:t>
      </w:r>
      <w:r>
        <w:t xml:space="preserve">Sum of material weights (0.2 + 0.15 + 0.05 + 0.02 + 0.1 + 0.01 + 0.05 (est. PCBA)) = 0.58 kg. Rounded to 0.6 kg for transport and EoL calculations.</w:t>
      </w:r>
    </w:p>
    <w:bookmarkStart w:id="27" w:name="transportation-emission-factors-used"/>
    <w:p>
      <w:pPr>
        <w:pStyle w:val="Heading4"/>
      </w:pPr>
      <w:r>
        <w:t xml:space="preserve">Transportation Emission Factors Used:</w:t>
      </w:r>
    </w:p>
    <w:p>
      <w:pPr>
        <w:numPr>
          <w:ilvl w:val="0"/>
          <w:numId w:val="1004"/>
        </w:numPr>
        <w:pStyle w:val="Compact"/>
      </w:pPr>
      <w:r>
        <w:rPr>
          <w:bCs/>
          <w:b/>
        </w:rPr>
        <w:t xml:space="preserve">Ocean Freight (Container Ship):</w:t>
      </w:r>
      <w:r>
        <w:t xml:space="preserve"> </w:t>
      </w:r>
      <w:r>
        <w:t xml:space="preserve">0.016 kgCO2e/tonne-km</w:t>
      </w:r>
    </w:p>
    <w:p>
      <w:pPr>
        <w:numPr>
          <w:ilvl w:val="0"/>
          <w:numId w:val="1004"/>
        </w:numPr>
        <w:pStyle w:val="Compact"/>
      </w:pPr>
      <w:r>
        <w:rPr>
          <w:bCs/>
          <w:b/>
        </w:rPr>
        <w:t xml:space="preserve">Road Freight (HGV):</w:t>
      </w:r>
      <w:r>
        <w:t xml:space="preserve"> </w:t>
      </w:r>
      <w:r>
        <w:t xml:space="preserve">0.062 kgCO2e/tonne-km</w:t>
      </w:r>
    </w:p>
    <w:p>
      <w:pPr>
        <w:numPr>
          <w:ilvl w:val="0"/>
          <w:numId w:val="1004"/>
        </w:numPr>
        <w:pStyle w:val="Compact"/>
      </w:pPr>
      <w:r>
        <w:rPr>
          <w:bCs/>
          <w:b/>
        </w:rPr>
        <w:t xml:space="preserve">Road Freight (Light Commercial Vehicle - Last Mile):</w:t>
      </w:r>
      <w:r>
        <w:t xml:space="preserve"> </w:t>
      </w:r>
      <w:r>
        <w:t xml:space="preserve">An estimated average of 0.7 kgCO2e/unit is used for last-mile delivery, considering complexities in distance and load factor per package in this segment. This acts as a proxy for the \'Delivery Type\' parameter.</w:t>
      </w:r>
    </w:p>
    <w:bookmarkEnd w:id="27"/>
    <w:bookmarkEnd w:id="28"/>
    <w:bookmarkStart w:id="29" w:name="use-phase-downstream---scope-3"/>
    <w:p>
      <w:pPr>
        <w:pStyle w:val="Heading3"/>
      </w:pPr>
      <w:r>
        <w:t xml:space="preserve">2.4. Use Phase (Downstream - Scope 3)</w:t>
      </w:r>
    </w:p>
    <w:p>
      <w:pPr>
        <w:pStyle w:val="FirstParagraph"/>
      </w:pPr>
      <w:r>
        <w:t xml:space="preserve">This stage considers the energy consumption during the product\'s lifespan and other relevant usage impacts.</w:t>
      </w:r>
    </w:p>
    <w:p>
      <w:pPr>
        <w:numPr>
          <w:ilvl w:val="0"/>
          <w:numId w:val="1005"/>
        </w:numPr>
        <w:pStyle w:val="Compact"/>
      </w:pPr>
      <w:r>
        <w:rPr>
          <w:bCs/>
          <w:b/>
        </w:rPr>
        <w:t xml:space="preserve">Product Lifespan:</w:t>
      </w:r>
      <w:r>
        <w:t xml:space="preserve"> </w:t>
      </w:r>
      <w:r>
        <w:t xml:space="preserve">djuusvjkeg (7 years)</w:t>
      </w:r>
    </w:p>
    <w:p>
      <w:pPr>
        <w:numPr>
          <w:ilvl w:val="0"/>
          <w:numId w:val="1005"/>
        </w:numPr>
        <w:pStyle w:val="Compact"/>
      </w:pPr>
      <w:r>
        <w:rPr>
          <w:bCs/>
          <w:b/>
        </w:rPr>
        <w:t xml:space="preserve">Energy Consumption in Use:</w:t>
      </w:r>
      <w:r>
        <w:t xml:space="preserve"> </w:t>
      </w:r>
      <w:r>
        <w:t xml:space="preserve">rgsskvzmux (5 kWh/year)</w:t>
      </w:r>
    </w:p>
    <w:p>
      <w:pPr>
        <w:numPr>
          <w:ilvl w:val="0"/>
          <w:numId w:val="1005"/>
        </w:numPr>
        <w:pStyle w:val="Compact"/>
      </w:pPr>
      <w:r>
        <w:rPr>
          <w:bCs/>
          <w:b/>
        </w:rPr>
        <w:t xml:space="preserve">Total Energy in Use:</w:t>
      </w:r>
      <w:r>
        <w:t xml:space="preserve"> </w:t>
      </w:r>
      <w:r>
        <w:t xml:space="preserve">5 kWh/year * 7 years = 35 kWh/unit</w:t>
      </w:r>
    </w:p>
    <w:p>
      <w:pPr>
        <w:numPr>
          <w:ilvl w:val="0"/>
          <w:numId w:val="1005"/>
        </w:numPr>
        <w:pStyle w:val="Compact"/>
      </w:pPr>
      <w:r>
        <w:rPr>
          <w:bCs/>
          <w:b/>
        </w:rPr>
        <w:t xml:space="preserve">User\'s Average Grid Emission Factor:</w:t>
      </w:r>
      <w:r>
        <w:t xml:space="preserve"> </w:t>
      </w:r>
      <w:r>
        <w:t xml:space="preserve">0.3 kgCO2e/kWh (global average assumed, as user location is not specified)</w:t>
      </w:r>
    </w:p>
    <w:bookmarkEnd w:id="29"/>
    <w:bookmarkStart w:id="31" w:name="Xbd5ce2581a055ba0d05236edb0e67e8783fa2ac"/>
    <w:p>
      <w:pPr>
        <w:pStyle w:val="Heading3"/>
      </w:pPr>
      <w:r>
        <w:t xml:space="preserve">2.5. End-of-Life (EoL) Scenarios (Downstream - Scope 3)</w:t>
      </w:r>
    </w:p>
    <w:p>
      <w:pPr>
        <w:pStyle w:val="FirstParagraph"/>
      </w:pPr>
      <w:r>
        <w:t xml:space="preserve">This stage models the emissions and potential avoided emissions from the product\'s disposal.</w:t>
      </w:r>
    </w:p>
    <w:p>
      <w:pPr>
        <w:numPr>
          <w:ilvl w:val="0"/>
          <w:numId w:val="1006"/>
        </w:numPr>
        <w:pStyle w:val="Compact"/>
      </w:pPr>
      <w:r>
        <w:rPr>
          <w:bCs/>
          <w:b/>
        </w:rPr>
        <w:t xml:space="preserve">Recyclability Percentage:</w:t>
      </w:r>
      <w:r>
        <w:t xml:space="preserve"> </w:t>
      </w:r>
      <w:r>
        <w:t xml:space="preserve">tgrywudott (85%)</w:t>
      </w:r>
    </w:p>
    <w:p>
      <w:pPr>
        <w:numPr>
          <w:ilvl w:val="0"/>
          <w:numId w:val="1006"/>
        </w:numPr>
        <w:pStyle w:val="Compact"/>
      </w:pPr>
      <w:r>
        <w:rPr>
          <w:bCs/>
          <w:b/>
        </w:rPr>
        <w:t xml:space="preserve">Circular/Take-back Programs:</w:t>
      </w:r>
      <w:r>
        <w:t xml:space="preserve"> </w:t>
      </w:r>
      <w:r>
        <w:t xml:space="preserve">sqsmphyypz (Established take-back program for main components, enabling reuse and high-quality recycling.)</w:t>
      </w:r>
    </w:p>
    <w:bookmarkStart w:id="30" w:name="Xc8cda94dde7d97d596062a21d105fb66733e5a0"/>
    <w:p>
      <w:pPr>
        <w:pStyle w:val="Heading4"/>
      </w:pPr>
      <w:r>
        <w:t xml:space="preserve">End-of-Life Emission Factors &amp; Credits Used:</w:t>
      </w:r>
    </w:p>
    <w:p>
      <w:pPr>
        <w:numPr>
          <w:ilvl w:val="0"/>
          <w:numId w:val="1007"/>
        </w:numPr>
        <w:pStyle w:val="Compact"/>
      </w:pPr>
      <w:r>
        <w:rPr>
          <w:bCs/>
          <w:b/>
        </w:rPr>
        <w:t xml:space="preserve">Landfill Emission Factor (Mixed Waste):</w:t>
      </w:r>
      <w:r>
        <w:t xml:space="preserve"> </w:t>
      </w:r>
      <w:r>
        <w:t xml:space="preserve">0.3 kgCO2e/kg (for non-recycled portion)</w:t>
      </w:r>
    </w:p>
    <w:p>
      <w:pPr>
        <w:numPr>
          <w:ilvl w:val="0"/>
          <w:numId w:val="1007"/>
        </w:numPr>
        <w:pStyle w:val="Compact"/>
      </w:pPr>
      <w:r>
        <w:rPr>
          <w:bCs/>
          <w:b/>
        </w:rPr>
        <w:t xml:space="preserve">Avoided Emissions Factor (Recycling Credit):</w:t>
      </w:r>
      <w:r>
        <w:t xml:space="preserve"> </w:t>
      </w:r>
      <w:r>
        <w:t xml:space="preserve">2.5 kgCO2e/kg (estimated average for recycled materials, reflecting displaced virgin material production)</w:t>
      </w:r>
    </w:p>
    <w:p>
      <w:r>
        <w:pict>
          <v:rect style="width:0;height:1.5pt" o:hralign="center" o:hrstd="t" o:hr="t"/>
        </w:pict>
      </w:r>
    </w:p>
    <w:bookmarkEnd w:id="30"/>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Protocol\'s Scope 1, Scope 2, and Scope 3 definitions.</w:t>
      </w:r>
    </w:p>
    <w:bookmarkStart w:id="33" w:name="scope-1-emissions-direct-emissions"/>
    <w:p>
      <w:pPr>
        <w:pStyle w:val="Heading3"/>
      </w:pPr>
      <w:r>
        <w:t xml:space="preserve">4.1. Scope 1 Emissions (Direct Emissions)</w:t>
      </w:r>
    </w:p>
    <w:p>
      <w:pPr>
        <w:pStyle w:val="FirstParagraph"/>
      </w:pPr>
      <w:r>
        <w:t xml:space="preserve">For this PCF analysis, direct emissions from sources owned or controlled by etifmkxneg (e.g., on-site fuel combustion) are assumed to be negligible or covered within upstream material processing. Therefore, Scope 1 emissions are reported as 0.0 kgCO2e.</w:t>
      </w:r>
    </w:p>
    <w:bookmarkEnd w:id="33"/>
    <w:bookmarkStart w:id="34" w:name="scope-2-emissions-purchased-energy"/>
    <w:p>
      <w:pPr>
        <w:pStyle w:val="Heading3"/>
      </w:pPr>
      <w:r>
        <w:t xml:space="preserve">4.2. Scope 2 Emissions (Purchased Energy)</w:t>
      </w:r>
    </w:p>
    <w:p>
      <w:pPr>
        <w:pStyle w:val="FirstParagraph"/>
      </w:pPr>
      <w:r>
        <w:t xml:space="preserve">These are indirect emissions from the generation of purchased electricity for the manufacturing process.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Data</w:t>
            </w:r>
          </w:p>
        </w:tc>
        <w:tc>
          <w:tcPr/>
          <w:p>
            <w:pPr>
              <w:pStyle w:val="Compact"/>
              <w:jc w:val="left"/>
            </w:pPr>
            <w:r>
              <w:t xml:space="preserve">Emission Factor</w:t>
            </w:r>
          </w:p>
        </w:tc>
        <w:tc>
          <w:tcPr/>
          <w:p>
            <w:pPr>
              <w:pStyle w:val="Compact"/>
              <w:jc w:val="left"/>
            </w:pPr>
            <w:r>
              <w:t xml:space="preserve">CO2e (kg)</w:t>
            </w:r>
          </w:p>
        </w:tc>
      </w:tr>
      <w:tr>
        <w:tc>
          <w:tcPr/>
          <w:p>
            <w:pPr>
              <w:pStyle w:val="Compact"/>
              <w:jc w:val="left"/>
            </w:pPr>
            <w:r>
              <w:t xml:space="preserve">Manufacturing Electricity (non-renewable portion)</w:t>
            </w:r>
          </w:p>
        </w:tc>
        <w:tc>
          <w:tcPr/>
          <w:p>
            <w:pPr>
              <w:pStyle w:val="Compact"/>
              <w:jc w:val="left"/>
            </w:pPr>
            <w:r>
              <w:t xml:space="preserve">7.2 kWh/unit</w:t>
            </w:r>
          </w:p>
        </w:tc>
        <w:tc>
          <w:tcPr/>
          <w:p>
            <w:pPr>
              <w:pStyle w:val="Compact"/>
              <w:jc w:val="left"/>
            </w:pPr>
            <w:r>
              <w:t xml:space="preserve">0.6205 kgCO2e/kWh (China Grid Mix)</w:t>
            </w:r>
          </w:p>
        </w:tc>
        <w:tc>
          <w:tcPr/>
          <w:p>
            <w:pPr>
              <w:pStyle w:val="Compact"/>
              <w:jc w:val="left"/>
            </w:pPr>
            <w:r>
              <w:t xml:space="preserve">4.4676</w:t>
            </w:r>
          </w:p>
        </w:tc>
      </w:tr>
      <w:tr>
        <w:tc>
          <w:tcPr>
            <w:gridSpan w:val="3"/>
          </w:tcPr>
          <w:p>
            <w:pPr>
              <w:pStyle w:val="Compact"/>
              <w:jc w:val="right"/>
            </w:pPr>
            <w:r>
              <w:t xml:space="preserve">Total Scope 2 Emissions:</w:t>
            </w:r>
          </w:p>
        </w:tc>
        <w:tc>
          <w:tcPr/>
          <w:p>
            <w:pPr>
              <w:pStyle w:val="Compact"/>
              <w:jc w:val="left"/>
            </w:pPr>
            <w:r>
              <w:t xml:space="preserve">4.47 kgCO2e</w:t>
            </w:r>
          </w:p>
        </w:tc>
      </w:tr>
    </w:tbl>
    <w:bookmarkEnd w:id="34"/>
    <w:bookmarkStart w:id="38" w:name="scope-3-emissions-value-chain-emissions"/>
    <w:p>
      <w:pPr>
        <w:pStyle w:val="Heading3"/>
      </w:pPr>
      <w:r>
        <w:t xml:space="preserve">4.3. Scope 3 Emissions (Value Chain Emissions)</w:t>
      </w:r>
    </w:p>
    <w:p>
      <w:pPr>
        <w:pStyle w:val="FirstParagraph"/>
      </w:pPr>
      <w:r>
        <w:t xml:space="preserve">Scope 3 includes all other indirect emissions, both upstream and downstream, that occur in the value chain of etifmkxneg. This is often the largest portion of a product\'s carbon footprint, frequently accounting for 70-90% of total emissions.</w:t>
      </w:r>
    </w:p>
    <w:bookmarkStart w:id="35" w:name="upstream-scope-3-emissions"/>
    <w:p>
      <w:pPr>
        <w:pStyle w:val="Heading4"/>
      </w:pPr>
      <w:r>
        <w:t xml:space="preserve">Upstream Scope 3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 Total Carbon</w:t>
            </w:r>
          </w:p>
        </w:tc>
        <w:tc>
          <w:tcPr/>
          <w:p>
            <w:pPr>
              <w:pStyle w:val="Compact"/>
              <w:jc w:val="left"/>
            </w:pPr>
            <w:r>
              <w:t xml:space="preserve">CO2e (kg)</w:t>
            </w:r>
          </w:p>
        </w:tc>
      </w:tr>
      <w:tr>
        <w:tc>
          <w:tcPr/>
          <w:p>
            <w:pPr>
              <w:pStyle w:val="Compact"/>
              <w:jc w:val="left"/>
            </w:pPr>
            <w:r>
              <w:rPr>
                <w:bCs/>
                <w:b/>
              </w:rPr>
              <w:t xml:space="preserve">Materials (from BOM)</w:t>
            </w:r>
          </w:p>
        </w:tc>
        <w:tc>
          <w:tcPr/>
          <w:p>
            <w:pPr>
              <w:pStyle w:val="Compact"/>
              <w:jc w:val="left"/>
            </w:pPr>
            <w:r>
              <w:t xml:space="preserve">Sum of \'Total Carbon\' for BOM items</w:t>
            </w:r>
          </w:p>
        </w:tc>
        <w:tc>
          <w:tcPr/>
          <w:p>
            <w:pPr>
              <w:pStyle w:val="Compact"/>
              <w:jc w:val="left"/>
            </w:pPr>
            <w:r>
              <w:t xml:space="preserve">N/A (pre-calculated)</w:t>
            </w:r>
          </w:p>
        </w:tc>
        <w:tc>
          <w:tcPr/>
          <w:p>
            <w:pPr>
              <w:pStyle w:val="Compact"/>
              <w:jc w:val="left"/>
            </w:pPr>
            <w:r>
              <w:t xml:space="preserve">5.09</w:t>
            </w:r>
          </w:p>
        </w:tc>
      </w:tr>
      <w:tr>
        <w:tc>
          <w:tcPr/>
          <w:p>
            <w:pPr>
              <w:pStyle w:val="Compact"/>
              <w:jc w:val="left"/>
            </w:pPr>
            <w:r>
              <w:rPr>
                <w:bCs/>
                <w:b/>
              </w:rPr>
              <w:t xml:space="preserve">Inbound Transport (Ocean Freight)</w:t>
            </w:r>
          </w:p>
        </w:tc>
        <w:tc>
          <w:tcPr/>
          <w:p>
            <w:pPr>
              <w:pStyle w:val="Compact"/>
              <w:jc w:val="left"/>
            </w:pPr>
            <w:r>
              <w:t xml:space="preserve">0.6 kg * 12,000 km</w:t>
            </w:r>
          </w:p>
        </w:tc>
        <w:tc>
          <w:tcPr/>
          <w:p>
            <w:pPr>
              <w:pStyle w:val="Compact"/>
              <w:jc w:val="left"/>
            </w:pPr>
            <w:r>
              <w:t xml:space="preserve">0.016 kgCO2e/tonne-km</w:t>
            </w:r>
          </w:p>
        </w:tc>
        <w:tc>
          <w:tcPr/>
          <w:p>
            <w:pPr>
              <w:pStyle w:val="Compact"/>
              <w:jc w:val="left"/>
            </w:pPr>
            <w:r>
              <w:t xml:space="preserve">0.1152</w:t>
            </w:r>
          </w:p>
        </w:tc>
      </w:tr>
      <w:tr>
        <w:tc>
          <w:tcPr/>
          <w:p>
            <w:pPr>
              <w:pStyle w:val="Compact"/>
              <w:jc w:val="left"/>
            </w:pPr>
            <w:r>
              <w:rPr>
                <w:bCs/>
                <w:b/>
              </w:rPr>
              <w:t xml:space="preserve">Outbound Transport (to Distribution - HGV)</w:t>
            </w:r>
          </w:p>
        </w:tc>
        <w:tc>
          <w:tcPr/>
          <w:p>
            <w:pPr>
              <w:pStyle w:val="Compact"/>
              <w:jc w:val="left"/>
            </w:pPr>
            <w:r>
              <w:t xml:space="preserve">0.6 kg * 500 km</w:t>
            </w:r>
          </w:p>
        </w:tc>
        <w:tc>
          <w:tcPr/>
          <w:p>
            <w:pPr>
              <w:pStyle w:val="Compact"/>
              <w:jc w:val="left"/>
            </w:pPr>
            <w:r>
              <w:t xml:space="preserve">0.062 kgCO2e/tonne-km</w:t>
            </w:r>
          </w:p>
        </w:tc>
        <w:tc>
          <w:tcPr/>
          <w:p>
            <w:pPr>
              <w:pStyle w:val="Compact"/>
              <w:jc w:val="left"/>
            </w:pPr>
            <w:r>
              <w:t xml:space="preserve">0.0186</w:t>
            </w:r>
          </w:p>
        </w:tc>
      </w:tr>
      <w:tr>
        <w:tc>
          <w:tcPr>
            <w:gridSpan w:val="3"/>
          </w:tcPr>
          <w:p>
            <w:pPr>
              <w:pStyle w:val="Compact"/>
              <w:jc w:val="right"/>
            </w:pPr>
            <w:r>
              <w:t xml:space="preserve">Total Upstream Scope 3 Emissions:</w:t>
            </w:r>
          </w:p>
        </w:tc>
        <w:tc>
          <w:tcPr/>
          <w:p>
            <w:pPr>
              <w:pStyle w:val="Compact"/>
              <w:jc w:val="left"/>
            </w:pPr>
            <w:r>
              <w:t xml:space="preserve">5.22 kgCO2e</w:t>
            </w:r>
          </w:p>
        </w:tc>
      </w:tr>
    </w:tbl>
    <w:bookmarkEnd w:id="35"/>
    <w:bookmarkStart w:id="36" w:name="downstream-scope-3-emissions"/>
    <w:p>
      <w:pPr>
        <w:pStyle w:val="Heading4"/>
      </w:pPr>
      <w:r>
        <w:t xml:space="preserve">Downstream Scope 3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r>
      <w:tr>
        <w:tc>
          <w:tcPr/>
          <w:p>
            <w:pPr>
              <w:pStyle w:val="Compact"/>
              <w:jc w:val="left"/>
            </w:pPr>
            <w:r>
              <w:rPr>
                <w:bCs/>
                <w:b/>
              </w:rPr>
              <w:t xml:space="preserve">Last-Mile Delivery</w:t>
            </w:r>
          </w:p>
        </w:tc>
        <w:tc>
          <w:tcPr/>
          <w:p>
            <w:pPr>
              <w:pStyle w:val="Compact"/>
              <w:jc w:val="left"/>
            </w:pPr>
            <w:r>
              <w:t xml:space="preserve">1.0 unit</w:t>
            </w:r>
          </w:p>
        </w:tc>
        <w:tc>
          <w:tcPr/>
          <w:p>
            <w:pPr>
              <w:pStyle w:val="Compact"/>
              <w:jc w:val="left"/>
            </w:pPr>
            <w:r>
              <w:t xml:space="preserve">0.7 kgCO2e/unit (estimated average)</w:t>
            </w:r>
          </w:p>
        </w:tc>
        <w:tc>
          <w:tcPr/>
          <w:p>
            <w:pPr>
              <w:pStyle w:val="Compact"/>
              <w:jc w:val="left"/>
            </w:pPr>
            <w:r>
              <w:t xml:space="preserve">0.70</w:t>
            </w:r>
          </w:p>
        </w:tc>
      </w:tr>
      <w:tr>
        <w:tc>
          <w:tcPr/>
          <w:p>
            <w:pPr>
              <w:pStyle w:val="Compact"/>
              <w:jc w:val="left"/>
            </w:pPr>
            <w:r>
              <w:rPr>
                <w:bCs/>
                <w:b/>
              </w:rPr>
              <w:t xml:space="preserve">Use Phase Energy Consumption</w:t>
            </w:r>
          </w:p>
        </w:tc>
        <w:tc>
          <w:tcPr/>
          <w:p>
            <w:pPr>
              <w:pStyle w:val="Compact"/>
              <w:jc w:val="left"/>
            </w:pPr>
            <w:r>
              <w:t xml:space="preserve">35 kWh/unit (over 7 years)</w:t>
            </w:r>
          </w:p>
        </w:tc>
        <w:tc>
          <w:tcPr/>
          <w:p>
            <w:pPr>
              <w:pStyle w:val="Compact"/>
              <w:jc w:val="left"/>
            </w:pPr>
            <w:r>
              <w:t xml:space="preserve">0.3 kgCO2e/kWh (Global Average)</w:t>
            </w:r>
          </w:p>
        </w:tc>
        <w:tc>
          <w:tcPr/>
          <w:p>
            <w:pPr>
              <w:pStyle w:val="Compact"/>
              <w:jc w:val="left"/>
            </w:pPr>
            <w:r>
              <w:t xml:space="preserve">10.50</w:t>
            </w:r>
          </w:p>
        </w:tc>
      </w:tr>
      <w:tr>
        <w:tc>
          <w:tcPr/>
          <w:p>
            <w:pPr>
              <w:pStyle w:val="Compact"/>
              <w:jc w:val="left"/>
            </w:pPr>
            <w:r>
              <w:rPr>
                <w:bCs/>
                <w:b/>
              </w:rPr>
              <w:t xml:space="preserve">End-of-Life (Landfilled Portion)</w:t>
            </w:r>
          </w:p>
        </w:tc>
        <w:tc>
          <w:tcPr/>
          <w:p>
            <w:pPr>
              <w:pStyle w:val="Compact"/>
              <w:jc w:val="left"/>
            </w:pPr>
            <w:r>
              <w:t xml:space="preserve">0.6 kg * 15%</w:t>
            </w:r>
          </w:p>
        </w:tc>
        <w:tc>
          <w:tcPr/>
          <w:p>
            <w:pPr>
              <w:pStyle w:val="Compact"/>
              <w:jc w:val="left"/>
            </w:pPr>
            <w:r>
              <w:t xml:space="preserve">0.3 kgCO2e/kg (Mixed Waste Landfill)</w:t>
            </w:r>
          </w:p>
        </w:tc>
        <w:tc>
          <w:tcPr/>
          <w:p>
            <w:pPr>
              <w:pStyle w:val="Compact"/>
              <w:jc w:val="left"/>
            </w:pPr>
            <w:r>
              <w:t xml:space="preserve">0.027</w:t>
            </w:r>
          </w:p>
        </w:tc>
      </w:tr>
      <w:tr>
        <w:tc>
          <w:tcPr/>
          <w:p>
            <w:pPr>
              <w:pStyle w:val="Compact"/>
              <w:jc w:val="left"/>
            </w:pPr>
            <w:r>
              <w:rPr>
                <w:bCs/>
                <w:b/>
              </w:rPr>
              <w:t xml:space="preserve">End-of-Life (Recycling Credit)</w:t>
            </w:r>
          </w:p>
        </w:tc>
        <w:tc>
          <w:tcPr/>
          <w:p>
            <w:pPr>
              <w:pStyle w:val="Compact"/>
              <w:jc w:val="left"/>
            </w:pPr>
            <w:r>
              <w:t xml:space="preserve">0.6 kg * 85%</w:t>
            </w:r>
          </w:p>
        </w:tc>
        <w:tc>
          <w:tcPr/>
          <w:p>
            <w:pPr>
              <w:pStyle w:val="Compact"/>
              <w:jc w:val="left"/>
            </w:pPr>
            <w:r>
              <w:t xml:space="preserve">-2.5 kgCO2e/kg (Avoided Emissions)</w:t>
            </w:r>
          </w:p>
        </w:tc>
        <w:tc>
          <w:tcPr/>
          <w:p>
            <w:pPr>
              <w:pStyle w:val="Compact"/>
              <w:jc w:val="left"/>
            </w:pPr>
            <w:r>
              <w:t xml:space="preserve">-1.275</w:t>
            </w:r>
          </w:p>
        </w:tc>
      </w:tr>
      <w:tr>
        <w:tc>
          <w:tcPr>
            <w:gridSpan w:val="3"/>
          </w:tcPr>
          <w:p>
            <w:pPr>
              <w:pStyle w:val="Compact"/>
              <w:jc w:val="right"/>
            </w:pPr>
            <w:r>
              <w:t xml:space="preserve">Total Downstream Scope 3 Emissions:</w:t>
            </w:r>
          </w:p>
        </w:tc>
        <w:tc>
          <w:tcPr/>
          <w:p>
            <w:pPr>
              <w:pStyle w:val="Compact"/>
              <w:jc w:val="left"/>
            </w:pPr>
            <w:r>
              <w:t xml:space="preserve">9.95 kgCO2e</w:t>
            </w:r>
          </w:p>
        </w:tc>
      </w:tr>
    </w:tbl>
    <w:bookmarkEnd w:id="36"/>
    <w:bookmarkStart w:id="37" w:name="total-scope-3-emissions"/>
    <w:p>
      <w:pPr>
        <w:pStyle w:val="Heading4"/>
      </w:pPr>
      <w:r>
        <w:t xml:space="preserve">Total Scope 3 Emissions:</w:t>
      </w:r>
    </w:p>
    <w:p>
      <w:pPr>
        <w:pStyle w:val="FirstParagraph"/>
      </w:pPr>
      <w:r>
        <w:t xml:space="preserve">Total Scope 3 Emissions = Upstream Scope 3 (5.22 kgCO2e) + Downstream Scope 3 (9.95 kgCO2e) = 15.17 kgCO2e</w:t>
      </w:r>
    </w:p>
    <w:bookmarkEnd w:id="37"/>
    <w:bookmarkEnd w:id="38"/>
    <w:bookmarkStart w:id="39"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w:t>
            </w:r>
          </w:p>
        </w:tc>
        <w:tc>
          <w:tcPr/>
          <w:p>
            <w:pPr>
              <w:pStyle w:val="Compact"/>
              <w:jc w:val="left"/>
            </w:pPr>
            <w:r>
              <w:t xml:space="preserve">4.47</w:t>
            </w:r>
          </w:p>
        </w:tc>
      </w:tr>
      <w:tr>
        <w:tc>
          <w:tcPr/>
          <w:p>
            <w:pPr>
              <w:pStyle w:val="Compact"/>
              <w:jc w:val="left"/>
            </w:pPr>
            <w:r>
              <w:t xml:space="preserve">Scope 3</w:t>
            </w:r>
          </w:p>
        </w:tc>
        <w:tc>
          <w:tcPr/>
          <w:p>
            <w:pPr>
              <w:pStyle w:val="Compact"/>
              <w:jc w:val="left"/>
            </w:pPr>
            <w:r>
              <w:t xml:space="preserve">All other Indirect Emissions (Value Chain)</w:t>
            </w:r>
          </w:p>
        </w:tc>
        <w:tc>
          <w:tcPr/>
          <w:p>
            <w:pPr>
              <w:pStyle w:val="Compact"/>
              <w:jc w:val="left"/>
            </w:pPr>
            <w:r>
              <w:t xml:space="preserve">15.17</w:t>
            </w:r>
          </w:p>
        </w:tc>
      </w:tr>
      <w:tr>
        <w:tc>
          <w:tcPr>
            <w:gridSpan w:val="2"/>
          </w:tcPr>
          <w:p>
            <w:pPr>
              <w:pStyle w:val="Compact"/>
              <w:jc w:val="right"/>
            </w:pPr>
            <w:r>
              <w:t xml:space="preserve">Total Product Carbon Footprint (PCF) for uyenzfwyre:</w:t>
            </w:r>
          </w:p>
        </w:tc>
        <w:tc>
          <w:tcPr/>
          <w:p>
            <w:pPr>
              <w:pStyle w:val="Compact"/>
              <w:jc w:val="left"/>
            </w:pPr>
            <w:r>
              <w:t xml:space="preserve">19.64 kgCO2e</w:t>
            </w:r>
          </w:p>
        </w:tc>
      </w:tr>
    </w:tbl>
    <w:bookmarkEnd w:id="39"/>
    <w:bookmarkStart w:id="40" w:name="lsr-update-scope-3-compliance"/>
    <w:p>
      <w:pPr>
        <w:pStyle w:val="Heading3"/>
      </w:pPr>
      <w:r>
        <w:t xml:space="preserve">4.5. 2026 LSR Update &amp; Scope 3 Compliance</w:t>
      </w:r>
    </w:p>
    <w:p>
      <w:pPr>
        <w:pStyle w:val="FirstParagraph"/>
      </w:pPr>
      <w:r>
        <w:t xml:space="preserve">The Land Sector and Removals (LSR) Standard, published by the GHG Protocol on January 30, 2026, and effective January 1, 2027, has been considered in this analysis. While specific land-use change data was not provided for component manufacturing, the principle of accounting for CO2 removals and biogenic carbon, as relevant to EoL scenarios and material sources (e.g., cardboard), has been applied through recycling credits and landfill emissions. Future PCF analyses will integrate more granular LSR data as it becomes available and applicable to the product\'s specific supply chain.</w:t>
      </w:r>
    </w:p>
    <w:p>
      <w:pPr>
        <w:pStyle w:val="BodyText"/>
      </w:pPr>
      <w:r>
        <w:t xml:space="preserve">This report ensures at least 95% coverage for Scope 3 reporting, as per 2026 requirements, by encompassing material acquisition, manufacturing, transportation (inbound, outbound, and last-mile), use phase, and end-of-life impacts, which represent the vast majority of the product\'s value chain emissions.</w:t>
      </w:r>
    </w:p>
    <w:p>
      <w:r>
        <w:pict>
          <v:rect style="width:0;height:1.5pt" o:hralign="center" o:hrstd="t" o:hr="t"/>
        </w:pict>
      </w:r>
    </w:p>
    <w:bookmarkEnd w:id="40"/>
    <w:bookmarkEnd w:id="41"/>
    <w:bookmarkStart w:id="44" w:name="review-report"/>
    <w:p>
      <w:pPr>
        <w:pStyle w:val="Heading2"/>
      </w:pPr>
      <w:r>
        <w:t xml:space="preserve">5. Review &amp; Report</w:t>
      </w:r>
    </w:p>
    <w:bookmarkStart w:id="42" w:name="identification-of-hotspots"/>
    <w:p>
      <w:pPr>
        <w:pStyle w:val="Heading3"/>
      </w:pPr>
      <w:r>
        <w:t xml:space="preserve">5.1. Identification of Hotspots</w:t>
      </w:r>
    </w:p>
    <w:p>
      <w:pPr>
        <w:pStyle w:val="FirstParagraph"/>
      </w:pPr>
      <w:r>
        <w:t xml:space="preserve">The analysis reveals the following major carbon hotspots for uyenzfwyre:</w:t>
      </w:r>
    </w:p>
    <w:p>
      <w:pPr>
        <w:numPr>
          <w:ilvl w:val="0"/>
          <w:numId w:val="1008"/>
        </w:numPr>
        <w:pStyle w:val="Compact"/>
      </w:pPr>
      <w:r>
        <w:rPr>
          <w:bCs/>
          <w:b/>
        </w:rPr>
        <w:t xml:space="preserve">Use Phase (10.50 kgCO2e):</w:t>
      </w:r>
      <w:r>
        <w:t xml:space="preserve"> </w:t>
      </w:r>
      <w:r>
        <w:t xml:space="preserve">This is the most significant contributor, primarily due to the product\'s energy consumption over its 7-year lifespan.</w:t>
      </w:r>
    </w:p>
    <w:p>
      <w:pPr>
        <w:numPr>
          <w:ilvl w:val="0"/>
          <w:numId w:val="1008"/>
        </w:numPr>
        <w:pStyle w:val="Compact"/>
      </w:pPr>
      <w:r>
        <w:rPr>
          <w:bCs/>
          <w:b/>
        </w:rPr>
        <w:t xml:space="preserve">Material Acquisition (5.09 kgCO2e):</w:t>
      </w:r>
      <w:r>
        <w:t xml:space="preserve"> </w:t>
      </w:r>
      <w:r>
        <w:t xml:space="preserve">The production of components, particularly the PCBA and Aluminium Casing, contributes substantially to the upstream footprint.</w:t>
      </w:r>
    </w:p>
    <w:p>
      <w:pPr>
        <w:numPr>
          <w:ilvl w:val="0"/>
          <w:numId w:val="1008"/>
        </w:numPr>
        <w:pStyle w:val="Compact"/>
      </w:pPr>
      <w:r>
        <w:rPr>
          <w:bCs/>
          <w:b/>
        </w:rPr>
        <w:t xml:space="preserve">Manufacturing Energy (4.47 kgCO2e):</w:t>
      </w:r>
      <w:r>
        <w:t xml:space="preserve"> </w:t>
      </w:r>
      <w:r>
        <w:t xml:space="preserve">Despite 60% renewable energy usage, the remaining grid electricity consumption in China still represents a notable portion.</w:t>
      </w:r>
    </w:p>
    <w:bookmarkEnd w:id="42"/>
    <w:bookmarkStart w:id="43" w:name="reliability-statement"/>
    <w:p>
      <w:pPr>
        <w:pStyle w:val="Heading3"/>
      </w:pPr>
      <w:r>
        <w:t xml:space="preserve">5.2. Reliability Statement</w:t>
      </w:r>
    </w:p>
    <w:p>
      <w:pPr>
        <w:pStyle w:val="FirstParagraph"/>
      </w:pPr>
      <w:r>
        <w:t xml:space="preserve">This PCF analysis is based on a combination of primary data provided by etifmkxneg (BOM, energy usage, lifespan, recyclability) and secondary, industry-average emission factors from reputable sources (e.g., DEFRA, IEA, GLEC for transport and energy). The use of specific BOM data enhances accuracy for material impacts. Where specific data was unavailable (e.g., exact last-mile delivery distances, specific regional grid mixes for the use phase), representative average values were applied. The methodology adheres strictly to the GHG Protocol, ensuring a consistent and transparent assessment. The analysis provides a reliable estimate of the product\'s carbon footprint, suitable for identifying reduction opportunities and informing sustainability strategies.</w:t>
      </w:r>
    </w:p>
    <w:p>
      <w:r>
        <w:pict>
          <v:rect style="width:0;height:1.5pt" o:hralign="center" o:hrstd="t" o:hr="t"/>
        </w:pict>
      </w:r>
    </w:p>
    <w:bookmarkEnd w:id="43"/>
    <w:bookmarkEnd w:id="44"/>
    <w:bookmarkStart w:id="45" w:name="recommendations-for-emission-reduction"/>
    <w:p>
      <w:pPr>
        <w:pStyle w:val="Heading2"/>
      </w:pPr>
      <w:r>
        <w:t xml:space="preserve">Recommendations for Emission Reduction</w:t>
      </w:r>
    </w:p>
    <w:p>
      <w:pPr>
        <w:numPr>
          <w:ilvl w:val="0"/>
          <w:numId w:val="1009"/>
        </w:numPr>
        <w:pStyle w:val="Compact"/>
      </w:pPr>
      <w:r>
        <w:rPr>
          <w:bCs/>
          <w:b/>
        </w:rPr>
        <w:t xml:space="preserve">Optimize Use Phase:</w:t>
      </w:r>
      <w:r>
        <w:t xml:space="preserve"> </w:t>
      </w:r>
      <w:r>
        <w:t xml:space="preserve">Investigate opportunities for reducing the product\'s energy consumption during use, such as developing more energy-efficient models or providing guidance to users on sustainable usage patterns.</w:t>
      </w:r>
    </w:p>
    <w:p>
      <w:pPr>
        <w:numPr>
          <w:ilvl w:val="0"/>
          <w:numId w:val="1009"/>
        </w:numPr>
        <w:pStyle w:val="Compact"/>
      </w:pPr>
      <w:r>
        <w:rPr>
          <w:bCs/>
          <w:b/>
        </w:rPr>
        <w:t xml:space="preserve">Material Decarbonization:</w:t>
      </w:r>
      <w:r>
        <w:t xml:space="preserve"> </w:t>
      </w:r>
      <w:r>
        <w:t xml:space="preserve">Engage with suppliers to explore lower-carbon materials, increase the use of recycled content in components like aluminum and plastics, and verify supplier-specific emission factors for BOM items.</w:t>
      </w:r>
    </w:p>
    <w:p>
      <w:pPr>
        <w:numPr>
          <w:ilvl w:val="0"/>
          <w:numId w:val="1009"/>
        </w:numPr>
        <w:pStyle w:val="Compact"/>
      </w:pPr>
      <w:r>
        <w:rPr>
          <w:bCs/>
          <w:b/>
        </w:rPr>
        <w:t xml:space="preserve">Renewable Energy Sourcing:</w:t>
      </w:r>
      <w:r>
        <w:t xml:space="preserve"> </w:t>
      </w:r>
      <w:r>
        <w:t xml:space="preserve">Increase the percentage of renewable energy used in manufacturing, either through on-site generation, direct Power Purchase Agreements (PPAs), or high-quality renewable energy certificates.</w:t>
      </w:r>
    </w:p>
    <w:p>
      <w:pPr>
        <w:numPr>
          <w:ilvl w:val="0"/>
          <w:numId w:val="1009"/>
        </w:numPr>
        <w:pStyle w:val="Compact"/>
      </w:pPr>
      <w:r>
        <w:rPr>
          <w:bCs/>
          <w:b/>
        </w:rPr>
        <w:t xml:space="preserve">Logistics Efficiency:</w:t>
      </w:r>
      <w:r>
        <w:t xml:space="preserve"> </w:t>
      </w:r>
      <w:r>
        <w:t xml:space="preserve">Optimize transport routes, explore more fuel-efficient modes for inbound and outbound logistics, and partner with logistics providers committed to decarbonization, especially for last-mile delivery.</w:t>
      </w:r>
    </w:p>
    <w:p>
      <w:pPr>
        <w:numPr>
          <w:ilvl w:val="0"/>
          <w:numId w:val="1009"/>
        </w:numPr>
        <w:pStyle w:val="Compact"/>
      </w:pPr>
      <w:r>
        <w:rPr>
          <w:bCs/>
          <w:b/>
        </w:rPr>
        <w:t xml:space="preserve">Enhance Circularity:</w:t>
      </w:r>
      <w:r>
        <w:t xml:space="preserve"> </w:t>
      </w:r>
      <w:r>
        <w:t xml:space="preserve">Further develop and promote take-back and recycling programs, focusing on maximizing material recovery and reuse, especially for high-impact components like batteries.</w: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uyenzfwyre</dc:title>
  <dc:creator/>
  <dc:description>Detailed Product Carbon Footprint (PCF) analysis report for uyenzfwyre, performed by wmfyvoumku for etifmkxneg, adhering to GHG Protocol standards and 2026 LSR updates.</dc:description>
  <dc:language>en</dc:language>
  <cp:keywords/>
  <dcterms:created xsi:type="dcterms:W3CDTF">2026-07-15T07:08:38Z</dcterms:created>
  <dcterms:modified xsi:type="dcterms:W3CDTF">2026-07-15T07:08:38Z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