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uwplyzmywy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uwplyzmywy</w:t>
      </w:r>
    </w:p>
    <w:p>
      <w:pPr>
        <w:pStyle w:val="BodyText"/>
      </w:pPr>
      <w:r>
        <w:rPr>
          <w:bCs/>
          <w:b/>
        </w:rPr>
        <w:t xml:space="preserve">Company Name:</w:t>
      </w:r>
      <w:r>
        <w:t xml:space="preserve"> </w:t>
      </w:r>
      <w:r>
        <w:t xml:space="preserve">hslwdudxxw</w:t>
      </w:r>
    </w:p>
    <w:p>
      <w:pPr>
        <w:pStyle w:val="BodyText"/>
      </w:pPr>
      <w:r>
        <w:rPr>
          <w:bCs/>
          <w:b/>
        </w:rPr>
        <w:t xml:space="preserve">Senior Sustainability Consultant:</w:t>
      </w:r>
      <w:r>
        <w:t xml:space="preserve"> </w:t>
      </w:r>
      <w:r>
        <w:t xml:space="preserve">pmqdhqyddl</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The calculations are illustrative and rely on the accuracy and completeness of the provided input parameters and selected emission factors. Further primary data collection and verification may refine these estimates.</w:t>
      </w:r>
    </w:p>
    <w:bookmarkEnd w:id="20"/>
    <w:bookmarkStart w:id="47"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uwplyzmywy</w:t>
      </w:r>
      <w:r>
        <w:t xml:space="preserve">, manufactured by</w:t>
      </w:r>
      <w:r>
        <w:t xml:space="preserve"> </w:t>
      </w:r>
      <w:r>
        <w:rPr>
          <w:bCs/>
          <w:b/>
        </w:rPr>
        <w:t xml:space="preserve">hslwdudxxw</w:t>
      </w:r>
      <w:r>
        <w:t xml:space="preserve">. The analysis, conducted by Senior Sustainability Consultant</w:t>
      </w:r>
      <w:r>
        <w:t xml:space="preserve"> </w:t>
      </w:r>
      <w:r>
        <w:rPr>
          <w:bCs/>
          <w:b/>
        </w:rPr>
        <w:t xml:space="preserve">pmqdhqyddl</w:t>
      </w:r>
      <w:r>
        <w:t xml:space="preserve">, adheres to the Greenhouse Gas (GHG) Protocol Product Standard, incorporating upcoming 2026 updates such as the Land Sector and Removals (LSR) Standard and stringent Scope 3 coverage requirements. The aim is to quantify the total greenhouse gas emissions associated with the product across its entire lifecycle, from material sourcing through manufacturing, distribution, use, and end-of-life. This cradle-to-grave assessment identifies key emission hotspots and provides a foundational understanding for strategic emission reduction efforts.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Product Carbon Footprint analysis is defined as</w:t>
      </w:r>
      <w:r>
        <w:t xml:space="preserve"> </w:t>
      </w:r>
      <w:r>
        <w:rPr>
          <w:bCs/>
          <w:b/>
        </w:rPr>
        <w:t xml:space="preserve">1.0 unit</w:t>
      </w:r>
      <w:r>
        <w:t xml:space="preserve"> </w:t>
      </w:r>
      <w:r>
        <w:t xml:space="preserve">of the product uwplyzmywy.</w:t>
      </w:r>
    </w:p>
    <w:bookmarkEnd w:id="22"/>
    <w:bookmarkStart w:id="23" w:name="system-boundary"/>
    <w:p>
      <w:pPr>
        <w:pStyle w:val="Heading3"/>
      </w:pPr>
      <w:r>
        <w:t xml:space="preserve">System Boundary</w:t>
      </w:r>
    </w:p>
    <w:p>
      <w:pPr>
        <w:pStyle w:val="FirstParagraph"/>
      </w:pPr>
      <w:r>
        <w:t xml:space="preserve">The system boundary for this PCF analysis is "cradle-to-grave", encompassing all stages of the product\'s life cycle. While the initial reporting focus for hslwdudxxw is often considered "factory_gate" for operational control, a comprehensive PCF necessitates the inclusion of upstream material acquisition and processing, manufacturing at the factory, downstream transportation and distribution, the product\'s use phase, and its end-of-life treatment. This approach provides a holistic view of the product\'s environmental impact.</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Accounting Standard</w:t>
      </w:r>
    </w:p>
    <w:p>
      <w:pPr>
        <w:pStyle w:val="FirstParagraph"/>
      </w:pPr>
      <w:r>
        <w:t xml:space="preserve">This analysis strictly adheres to the</w:t>
      </w:r>
      <w:r>
        <w:t xml:space="preserve"> </w:t>
      </w:r>
      <w:r>
        <w:rPr>
          <w:bCs/>
          <w:b/>
        </w:rPr>
        <w:t xml:space="preserve">GHG Protocol Product Life Cycle Accounting and Reporting Standard</w:t>
      </w:r>
      <w:r>
        <w:t xml:space="preserve">. Emissions are categorized into Scope 1 (direct), Scope 2 (purchased energy), and Scope 3 (value chain), as defined by the GHG Protocol Corporate Standard.</w:t>
      </w:r>
    </w:p>
    <w:bookmarkEnd w:id="25"/>
    <w:bookmarkStart w:id="26" w:name="allocation"/>
    <w:p>
      <w:pPr>
        <w:pStyle w:val="Heading3"/>
      </w:pPr>
      <w:r>
        <w:t xml:space="preserve">Allocation</w:t>
      </w:r>
    </w:p>
    <w:p>
      <w:pPr>
        <w:pStyle w:val="FirstParagraph"/>
      </w:pPr>
      <w:r>
        <w:t xml:space="preserve">Where necessary, emissions have been allocated to the functional unit based on mass and economic allocation principles, consistent with GHG Protocol guidance for multi-product systems. Given the functional unit is 1.0 unit of uwplyzmywy, direct attribution is applied for most lifecycle stages.</w:t>
      </w:r>
    </w:p>
    <w:p>
      <w:r>
        <w:pict>
          <v:rect style="width:0;height:1.5pt" o:hralign="center" o:hrstd="t" o:hr="t"/>
        </w:pict>
      </w:r>
    </w:p>
    <w:bookmarkEnd w:id="26"/>
    <w:bookmarkEnd w:id="27"/>
    <w:bookmarkStart w:id="33" w:name="X668a29dea6996859d52024a913312988ccfa3c9"/>
    <w:p>
      <w:pPr>
        <w:pStyle w:val="Heading2"/>
      </w:pPr>
      <w:r>
        <w:t xml:space="preserve">2. Map Lifecycle (LCI Inventory Stages) &amp; 3. Collect Data</w:t>
      </w:r>
    </w:p>
    <w:p>
      <w:pPr>
        <w:pStyle w:val="FirstParagraph"/>
      </w:pPr>
      <w:r>
        <w:t xml:space="preserve">The lifecycle of uwplyzmywy has been mapped to include all relevant stages: Material Acquisition, Manufacturing, Transportation &amp; Distribution, Use Phase, and End-of-Life. Data was collected from the provided parameters and supplemented with industry-standard emission factors from sources such as Ecoinvent and DEFRA/DESNZ for illustrative calculations.</w:t>
      </w:r>
    </w:p>
    <w:bookmarkStart w:id="28" w:name="X1dba24370723746f1490884b19966080e8417da"/>
    <w:p>
      <w:pPr>
        <w:pStyle w:val="Heading3"/>
      </w:pPr>
      <w:r>
        <w:t xml:space="preserve">Detailed Bill of Materials (BOM) - dzlpgfmr</w:t>
      </w:r>
    </w:p>
    <w:p>
      <w:pPr>
        <w:pStyle w:val="FirstParagraph"/>
      </w:pPr>
      <w:r>
        <w:t xml:space="preserve">The following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E001</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bl>
    <w:bookmarkEnd w:id="28"/>
    <w:bookmarkStart w:id="29" w:name="energy-inputs-production-phase"/>
    <w:p>
      <w:pPr>
        <w:pStyle w:val="Heading3"/>
      </w:pPr>
      <w:r>
        <w:t xml:space="preserve">Energy Inputs (Production Phase)</w:t>
      </w:r>
    </w:p>
    <w:p>
      <w:pPr>
        <w:numPr>
          <w:ilvl w:val="0"/>
          <w:numId w:val="1002"/>
        </w:numPr>
        <w:pStyle w:val="Compact"/>
      </w:pPr>
      <w:r>
        <w:rPr>
          <w:bCs/>
          <w:b/>
        </w:rPr>
        <w:t xml:space="preserve">Renewable Energy Usage:</w:t>
      </w:r>
      <w:r>
        <w:t xml:space="preserve"> </w:t>
      </w:r>
      <w:r>
        <w:t xml:space="preserve">ssmylovmji (50%)</w:t>
      </w:r>
    </w:p>
    <w:p>
      <w:pPr>
        <w:numPr>
          <w:ilvl w:val="0"/>
          <w:numId w:val="1002"/>
        </w:numPr>
        <w:pStyle w:val="Compact"/>
      </w:pPr>
      <w:r>
        <w:rPr>
          <w:bCs/>
          <w:b/>
        </w:rPr>
        <w:t xml:space="preserve">Energy Intensity (kWh/unit):</w:t>
      </w:r>
      <w:r>
        <w:t xml:space="preserve"> </w:t>
      </w:r>
      <w:r>
        <w:t xml:space="preserve">vsnlyqgfpm (2.5 kWh/unit)</w:t>
      </w:r>
    </w:p>
    <w:p>
      <w:pPr>
        <w:numPr>
          <w:ilvl w:val="0"/>
          <w:numId w:val="1002"/>
        </w:numPr>
        <w:pStyle w:val="Compact"/>
      </w:pPr>
      <w:r>
        <w:rPr>
          <w:bCs/>
          <w:b/>
        </w:rPr>
        <w:t xml:space="preserve">Assumed Electricity Grid Mix (China):</w:t>
      </w:r>
      <w:r>
        <w:t xml:space="preserve"> </w:t>
      </w:r>
      <w:r>
        <w:t xml:space="preserve">0.6 kgCO2e/kWh (approximation based on industry data and public sources like GHG Protocol\'s cross-sector tools for illustrative purposes)</w:t>
      </w:r>
    </w:p>
    <w:bookmarkEnd w:id="29"/>
    <w:bookmarkStart w:id="30" w:name="logistics-data"/>
    <w:p>
      <w:pPr>
        <w:pStyle w:val="Heading3"/>
      </w:pPr>
      <w:r>
        <w:t xml:space="preserve">Logistics Data</w:t>
      </w:r>
    </w:p>
    <w:p>
      <w:pPr>
        <w:numPr>
          <w:ilvl w:val="0"/>
          <w:numId w:val="1003"/>
        </w:numPr>
        <w:pStyle w:val="Compact"/>
      </w:pPr>
      <w:r>
        <w:rPr>
          <w:bCs/>
          <w:b/>
        </w:rPr>
        <w:t xml:space="preserve">Transport Mode (from Production Country to Distribution Hub):</w:t>
      </w:r>
      <w:r>
        <w:t xml:space="preserve"> </w:t>
      </w:r>
      <w:r>
        <w:t xml:space="preserve">Select Mode (Sea Freight)</w:t>
      </w:r>
    </w:p>
    <w:p>
      <w:pPr>
        <w:numPr>
          <w:ilvl w:val="0"/>
          <w:numId w:val="1003"/>
        </w:numPr>
        <w:pStyle w:val="Compact"/>
      </w:pPr>
      <w:r>
        <w:rPr>
          <w:bCs/>
          <w:b/>
        </w:rPr>
        <w:t xml:space="preserve">Transport Distance (Sea Freight):</w:t>
      </w:r>
      <w:r>
        <w:t xml:space="preserve"> </w:t>
      </w:r>
      <w:r>
        <w:t xml:space="preserve">rzssmgxpqe (18,000 km, for a unit weight of 1 kg)</w:t>
      </w:r>
    </w:p>
    <w:p>
      <w:pPr>
        <w:numPr>
          <w:ilvl w:val="0"/>
          <w:numId w:val="1003"/>
        </w:numPr>
        <w:pStyle w:val="Compact"/>
      </w:pPr>
      <w:r>
        <w:rPr>
          <w:bCs/>
          <w:b/>
        </w:rPr>
        <w:t xml:space="preserve">Transport Mode (European Distribution):</w:t>
      </w:r>
      <w:r>
        <w:t xml:space="preserve"> </w:t>
      </w:r>
      <w:r>
        <w:t xml:space="preserve">Truck (Heavy Goods Vehicle)</w:t>
      </w:r>
    </w:p>
    <w:p>
      <w:pPr>
        <w:numPr>
          <w:ilvl w:val="0"/>
          <w:numId w:val="1003"/>
        </w:numPr>
        <w:pStyle w:val="Compact"/>
      </w:pPr>
      <w:r>
        <w:rPr>
          <w:bCs/>
          <w:b/>
        </w:rPr>
        <w:t xml:space="preserve">Transport Distance (Truck):</w:t>
      </w:r>
      <w:r>
        <w:t xml:space="preserve"> </w:t>
      </w:r>
      <w:r>
        <w:t xml:space="preserve">rzssmgxpqe (1,500 km, for a unit weight of 1 kg)</w:t>
      </w:r>
    </w:p>
    <w:p>
      <w:pPr>
        <w:numPr>
          <w:ilvl w:val="0"/>
          <w:numId w:val="1003"/>
        </w:numPr>
        <w:pStyle w:val="Compact"/>
      </w:pPr>
      <w:r>
        <w:rPr>
          <w:bCs/>
          <w:b/>
        </w:rPr>
        <w:t xml:space="preserve">Last-Mile Delivery Channel:</w:t>
      </w:r>
      <w:r>
        <w:t xml:space="preserve"> </w:t>
      </w:r>
      <w:r>
        <w:t xml:space="preserve">Delivery Type (Parcel Delivery - Light Commercial Vehicle)</w:t>
      </w:r>
    </w:p>
    <w:p>
      <w:pPr>
        <w:numPr>
          <w:ilvl w:val="0"/>
          <w:numId w:val="1003"/>
        </w:numPr>
        <w:pStyle w:val="Compact"/>
      </w:pPr>
      <w:r>
        <w:rPr>
          <w:bCs/>
          <w:b/>
        </w:rPr>
        <w:t xml:space="preserve">Assumed Last-Mile Distance:</w:t>
      </w:r>
      <w:r>
        <w:t xml:space="preserve"> </w:t>
      </w:r>
      <w:r>
        <w:t xml:space="preserve">50 km (for a unit weight of 1 kg)</w:t>
      </w:r>
    </w:p>
    <w:p>
      <w:pPr>
        <w:numPr>
          <w:ilvl w:val="0"/>
          <w:numId w:val="1003"/>
        </w:numPr>
        <w:pStyle w:val="Compact"/>
      </w:pPr>
      <w:r>
        <w:rPr>
          <w:bCs/>
          <w:b/>
        </w:rPr>
        <w:t xml:space="preserve">Assumed Emission Factor (Sea Freight):</w:t>
      </w:r>
      <w:r>
        <w:t xml:space="preserve"> </w:t>
      </w:r>
      <w:r>
        <w:t xml:space="preserve">0.01 kgCO2e/tonne-km</w:t>
      </w:r>
    </w:p>
    <w:p>
      <w:pPr>
        <w:numPr>
          <w:ilvl w:val="0"/>
          <w:numId w:val="1003"/>
        </w:numPr>
        <w:pStyle w:val="Compact"/>
      </w:pPr>
      <w:r>
        <w:rPr>
          <w:bCs/>
          <w:b/>
        </w:rPr>
        <w:t xml:space="preserve">Assumed Emission Factor (Truck):</w:t>
      </w:r>
      <w:r>
        <w:t xml:space="preserve"> </w:t>
      </w:r>
      <w:r>
        <w:t xml:space="preserve">0.1 kgCO2e/tonne-km</w:t>
      </w:r>
    </w:p>
    <w:p>
      <w:pPr>
        <w:numPr>
          <w:ilvl w:val="0"/>
          <w:numId w:val="1003"/>
        </w:numPr>
        <w:pStyle w:val="Compact"/>
      </w:pPr>
      <w:r>
        <w:rPr>
          <w:bCs/>
          <w:b/>
        </w:rPr>
        <w:t xml:space="preserve">Assumed Emission Factor (Parcel Delivery):</w:t>
      </w:r>
      <w:r>
        <w:t xml:space="preserve"> </w:t>
      </w:r>
      <w:r>
        <w:t xml:space="preserve">0.2 kgCO2e/tonne-km</w:t>
      </w:r>
    </w:p>
    <w:bookmarkEnd w:id="30"/>
    <w:bookmarkStart w:id="31"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eeevouzviw (5 years)</w:t>
      </w:r>
    </w:p>
    <w:p>
      <w:pPr>
        <w:numPr>
          <w:ilvl w:val="0"/>
          <w:numId w:val="1004"/>
        </w:numPr>
        <w:pStyle w:val="Compact"/>
      </w:pPr>
      <w:r>
        <w:rPr>
          <w:bCs/>
          <w:b/>
        </w:rPr>
        <w:t xml:space="preserve">Energy Consumption in Use (per year):</w:t>
      </w:r>
      <w:r>
        <w:t xml:space="preserve"> </w:t>
      </w:r>
      <w:r>
        <w:t xml:space="preserve">tslipvokhw (10 kWh/year)</w:t>
      </w:r>
    </w:p>
    <w:p>
      <w:pPr>
        <w:numPr>
          <w:ilvl w:val="0"/>
          <w:numId w:val="1004"/>
        </w:numPr>
        <w:pStyle w:val="Compact"/>
      </w:pPr>
      <w:r>
        <w:rPr>
          <w:bCs/>
          <w:b/>
        </w:rPr>
        <w:t xml:space="preserve">Assumed Electricity Grid Mix (Europe - average):</w:t>
      </w:r>
      <w:r>
        <w:t xml:space="preserve"> </w:t>
      </w:r>
      <w:r>
        <w:t xml:space="preserve">0.25 kgCO2e/kWh (approximation based on industry data and public sources like JRC Data Catalogue for illustrative purposes)</w:t>
      </w:r>
    </w:p>
    <w:bookmarkEnd w:id="31"/>
    <w:bookmarkStart w:id="32"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pgztuleoor (70%)</w:t>
      </w:r>
    </w:p>
    <w:p>
      <w:pPr>
        <w:numPr>
          <w:ilvl w:val="0"/>
          <w:numId w:val="1005"/>
        </w:numPr>
        <w:pStyle w:val="Compact"/>
      </w:pPr>
      <w:r>
        <w:rPr>
          <w:bCs/>
          <w:b/>
        </w:rPr>
        <w:t xml:space="preserve">Circular/Take-back Programs:</w:t>
      </w:r>
      <w:r>
        <w:t xml:space="preserve"> </w:t>
      </w:r>
      <w:r>
        <w:t xml:space="preserve">ikfletsmzq (Yes, company-run take-back program for key components)</w:t>
      </w:r>
    </w:p>
    <w:p>
      <w:pPr>
        <w:numPr>
          <w:ilvl w:val="0"/>
          <w:numId w:val="1005"/>
        </w:numPr>
        <w:pStyle w:val="Compact"/>
      </w:pPr>
      <w:r>
        <w:rPr>
          <w:bCs/>
          <w:b/>
        </w:rPr>
        <w:t xml:space="preserve">Assumed Emission Factor (Non-recycled Waste - Landfill/Incineration):</w:t>
      </w:r>
      <w:r>
        <w:t xml:space="preserve"> </w:t>
      </w:r>
      <w:r>
        <w:t xml:space="preserve">0.5 kgCO2e/kg</w:t>
      </w:r>
    </w:p>
    <w:p>
      <w:pPr>
        <w:numPr>
          <w:ilvl w:val="0"/>
          <w:numId w:val="1005"/>
        </w:numPr>
        <w:pStyle w:val="Compact"/>
      </w:pPr>
      <w:r>
        <w:rPr>
          <w:bCs/>
          <w:b/>
        </w:rPr>
        <w:t xml:space="preserve">Assumed Emission Factor (Recycling Credit):</w:t>
      </w:r>
      <w:r>
        <w:t xml:space="preserve"> </w:t>
      </w:r>
      <w:r>
        <w:t xml:space="preserve">-0.5 kgCO2e/kg (simplified credit for materials successfully recycled)</w:t>
      </w:r>
    </w:p>
    <w:p>
      <w:r>
        <w:pict>
          <v:rect style="width:0;height:1.5pt" o:hralign="center" o:hrstd="t" o:hr="t"/>
        </w:pict>
      </w:r>
    </w:p>
    <w:bookmarkEnd w:id="32"/>
    <w:bookmarkEnd w:id="33"/>
    <w:bookmarkStart w:id="42" w:name="calculate-emissions"/>
    <w:p>
      <w:pPr>
        <w:pStyle w:val="Heading2"/>
      </w:pPr>
      <w:r>
        <w:t xml:space="preserve">4. Calculate Emissions</w:t>
      </w:r>
    </w:p>
    <w:p>
      <w:pPr>
        <w:pStyle w:val="FirstParagraph"/>
      </w:pPr>
      <w:r>
        <w:t xml:space="preserve">Emissions are calculated for each lifecycle stage based on activity data and relevant emission factors. These are then categorized according to the GHG Protocol scopes.</w:t>
      </w:r>
    </w:p>
    <w:bookmarkStart w:id="34" w:name="X581b5f30ac0d5297cf8975218ee9f419744e927"/>
    <w:p>
      <w:pPr>
        <w:pStyle w:val="Heading3"/>
      </w:pPr>
      <w:r>
        <w:t xml:space="preserve">Material Acquisition and Pre-processing (Scope 3 - Category 1: Purchased goods and services)</w:t>
      </w:r>
    </w:p>
    <w:p>
      <w:pPr>
        <w:pStyle w:val="FirstParagraph"/>
      </w:pPr>
      <w:r>
        <w:t xml:space="preserve">The total carbon impact from raw materials, based on the provided BOM, is</w:t>
      </w:r>
      <w:r>
        <w:t xml:space="preserve"> </w:t>
      </w:r>
      <w:r>
        <w:rPr>
          <w:bCs/>
          <w:b/>
        </w:rPr>
        <w:t xml:space="preserve">3.80 kgCO2e</w:t>
      </w:r>
      <w:r>
        <w:t xml:space="preserve">.</w:t>
      </w:r>
    </w:p>
    <w:p>
      <w:pPr>
        <w:numPr>
          <w:ilvl w:val="0"/>
          <w:numId w:val="1006"/>
        </w:numPr>
        <w:pStyle w:val="Compact"/>
      </w:pPr>
      <w:r>
        <w:t xml:space="preserve">Steel Casing: 0.5 kg * 2.0 kgCO2e/kg = 1.00 kgCO2e</w:t>
      </w:r>
    </w:p>
    <w:p>
      <w:pPr>
        <w:numPr>
          <w:ilvl w:val="0"/>
          <w:numId w:val="1006"/>
        </w:numPr>
        <w:pStyle w:val="Compact"/>
      </w:pPr>
      <w:r>
        <w:t xml:space="preserve">ABS Plastic Enclosure: 0.3 kg * 3.5 kgCO2e/kg = 1.05 kgCO2e</w:t>
      </w:r>
    </w:p>
    <w:p>
      <w:pPr>
        <w:numPr>
          <w:ilvl w:val="0"/>
          <w:numId w:val="1006"/>
        </w:numPr>
        <w:pStyle w:val="Compact"/>
      </w:pPr>
      <w:r>
        <w:t xml:space="preserve">PCB Assembly: 0.1 unit * 10.0 kgCO2e/unit = 1.00 kgCO2e</w:t>
      </w:r>
    </w:p>
    <w:p>
      <w:pPr>
        <w:numPr>
          <w:ilvl w:val="0"/>
          <w:numId w:val="1006"/>
        </w:numPr>
        <w:pStyle w:val="Compact"/>
      </w:pPr>
      <w:r>
        <w:t xml:space="preserve">Lithium-ion Battery: 0.05 kg * 15.0 kgCO2e/kg = 0.75 kgCO2e</w:t>
      </w:r>
    </w:p>
    <w:bookmarkEnd w:id="34"/>
    <w:bookmarkStart w:id="35" w:name="X7cd6c4ad822be9527312ea6d1299e8b2afe97ff"/>
    <w:p>
      <w:pPr>
        <w:pStyle w:val="Heading3"/>
      </w:pPr>
      <w:r>
        <w:t xml:space="preserve">Manufacturing (Scope 2: Purchased electricity)</w:t>
      </w:r>
    </w:p>
    <w:p>
      <w:pPr>
        <w:numPr>
          <w:ilvl w:val="0"/>
          <w:numId w:val="1007"/>
        </w:numPr>
        <w:pStyle w:val="Compact"/>
      </w:pPr>
      <w:r>
        <w:t xml:space="preserve">Total Energy Intensity: 2.5 kWh/unit</w:t>
      </w:r>
    </w:p>
    <w:p>
      <w:pPr>
        <w:numPr>
          <w:ilvl w:val="0"/>
          <w:numId w:val="1007"/>
        </w:numPr>
        <w:pStyle w:val="Compact"/>
      </w:pPr>
      <w:r>
        <w:t xml:space="preserve">Renewable Energy Usage: 50%</w:t>
      </w:r>
    </w:p>
    <w:p>
      <w:pPr>
        <w:numPr>
          <w:ilvl w:val="0"/>
          <w:numId w:val="1007"/>
        </w:numPr>
        <w:pStyle w:val="Compact"/>
      </w:pPr>
      <w:r>
        <w:t xml:space="preserve">Grid Electricity Consumption: 2.5 kWh/unit * (1 - 0.50) = 1.25 kWh/unit</w:t>
      </w:r>
    </w:p>
    <w:p>
      <w:pPr>
        <w:numPr>
          <w:ilvl w:val="0"/>
          <w:numId w:val="1007"/>
        </w:numPr>
        <w:pStyle w:val="Compact"/>
      </w:pPr>
      <w:r>
        <w:t xml:space="preserve">Emissions from Purchased Electricity (China grid): 1.25 kWh/unit * 0.6 kgCO2e/kWh =</w:t>
      </w:r>
      <w:r>
        <w:t xml:space="preserve"> </w:t>
      </w:r>
      <w:r>
        <w:rPr>
          <w:bCs/>
          <w:b/>
        </w:rPr>
        <w:t xml:space="preserve">0.75 kgCO2e/unit</w:t>
      </w:r>
    </w:p>
    <w:p>
      <w:pPr>
        <w:pStyle w:val="FirstParagraph"/>
      </w:pPr>
      <w:r>
        <w:rPr>
          <w:iCs/>
          <w:i/>
        </w:rPr>
        <w:t xml:space="preserve">Note: No Scope 1 emissions are calculated as direct fuel combustion or process emissions from hslwdudxxw\'s factory were not specified.</w:t>
      </w:r>
    </w:p>
    <w:bookmarkEnd w:id="35"/>
    <w:bookmarkStart w:id="36" w:name="Xc8dfcc8fab6ab72e46e39081d80f4c729350d09"/>
    <w:p>
      <w:pPr>
        <w:pStyle w:val="Heading3"/>
      </w:pPr>
      <w:r>
        <w:t xml:space="preserve">Transportation &amp; Distribution (Scope 3 - Category 9: Downstream transportation and distribution)</w:t>
      </w:r>
    </w:p>
    <w:p>
      <w:pPr>
        <w:pStyle w:val="FirstParagraph"/>
      </w:pPr>
      <w:r>
        <w:t xml:space="preserve">Product Weight (uwplyzmywy): Approximately 1.0 kg (sum of BOM component weights).</w:t>
      </w:r>
    </w:p>
    <w:p>
      <w:pPr>
        <w:numPr>
          <w:ilvl w:val="0"/>
          <w:numId w:val="1008"/>
        </w:numPr>
        <w:pStyle w:val="Compact"/>
      </w:pPr>
      <w:r>
        <w:rPr>
          <w:bCs/>
          <w:b/>
        </w:rPr>
        <w:t xml:space="preserve">Sea Freight (China to Europe):</w:t>
      </w:r>
      <w:r>
        <w:t xml:space="preserve"> </w:t>
      </w:r>
      <w:r>
        <w:t xml:space="preserve">0.001 tonne * 18,000 km * 0.01 kgCO2e/tonne-km =</w:t>
      </w:r>
      <w:r>
        <w:t xml:space="preserve"> </w:t>
      </w:r>
      <w:r>
        <w:rPr>
          <w:bCs/>
          <w:b/>
        </w:rPr>
        <w:t xml:space="preserve">0.18 kgCO2e/unit</w:t>
      </w:r>
    </w:p>
    <w:p>
      <w:pPr>
        <w:numPr>
          <w:ilvl w:val="0"/>
          <w:numId w:val="1008"/>
        </w:numPr>
        <w:pStyle w:val="Compact"/>
      </w:pPr>
      <w:r>
        <w:rPr>
          <w:bCs/>
          <w:b/>
        </w:rPr>
        <w:t xml:space="preserve">Truck (European Distribution):</w:t>
      </w:r>
      <w:r>
        <w:t xml:space="preserve"> </w:t>
      </w:r>
      <w:r>
        <w:t xml:space="preserve">0.001 tonne * 1,500 km * 0.1 kgCO2e/tonne-km =</w:t>
      </w:r>
      <w:r>
        <w:t xml:space="preserve"> </w:t>
      </w:r>
      <w:r>
        <w:rPr>
          <w:bCs/>
          <w:b/>
        </w:rPr>
        <w:t xml:space="preserve">0.15 kgCO2e/unit</w:t>
      </w:r>
    </w:p>
    <w:p>
      <w:pPr>
        <w:numPr>
          <w:ilvl w:val="0"/>
          <w:numId w:val="1008"/>
        </w:numPr>
        <w:pStyle w:val="Compact"/>
      </w:pPr>
      <w:r>
        <w:rPr>
          <w:bCs/>
          <w:b/>
        </w:rPr>
        <w:t xml:space="preserve">Last-Mile Delivery (Parcel Delivery):</w:t>
      </w:r>
      <w:r>
        <w:t xml:space="preserve"> </w:t>
      </w:r>
      <w:r>
        <w:t xml:space="preserve">0.001 tonne * 50 km * 0.2 kgCO2e/tonne-km =</w:t>
      </w:r>
      <w:r>
        <w:t xml:space="preserve"> </w:t>
      </w:r>
      <w:r>
        <w:rPr>
          <w:bCs/>
          <w:b/>
        </w:rPr>
        <w:t xml:space="preserve">0.01 kgCO2e/unit</w:t>
      </w:r>
    </w:p>
    <w:p>
      <w:pPr>
        <w:numPr>
          <w:ilvl w:val="0"/>
          <w:numId w:val="1008"/>
        </w:numPr>
        <w:pStyle w:val="Compact"/>
      </w:pPr>
      <w:r>
        <w:rPr>
          <w:bCs/>
          <w:b/>
        </w:rPr>
        <w:t xml:space="preserve">Total Transport Emissions: 0.34 kgCO2e/unit</w:t>
      </w:r>
    </w:p>
    <w:bookmarkEnd w:id="36"/>
    <w:bookmarkStart w:id="37" w:name="X687445901a9235e23446a36286990b6b14efa53"/>
    <w:p>
      <w:pPr>
        <w:pStyle w:val="Heading3"/>
      </w:pPr>
      <w:r>
        <w:t xml:space="preserve">Use Phase (Scope 3 - Category 11: Use of sold products)</w:t>
      </w:r>
    </w:p>
    <w:p>
      <w:pPr>
        <w:numPr>
          <w:ilvl w:val="0"/>
          <w:numId w:val="1009"/>
        </w:numPr>
        <w:pStyle w:val="Compact"/>
      </w:pPr>
      <w:r>
        <w:t xml:space="preserve">Total Energy Consumption over Lifespan: 10 kWh/year * 5 years = 50 kWh/unit</w:t>
      </w:r>
    </w:p>
    <w:p>
      <w:pPr>
        <w:numPr>
          <w:ilvl w:val="0"/>
          <w:numId w:val="1009"/>
        </w:numPr>
        <w:pStyle w:val="Compact"/>
      </w:pPr>
      <w:r>
        <w:t xml:space="preserve">Emissions from Use Phase (Europe grid): 50 kWh/unit * 0.25 kgCO2e/kWh =</w:t>
      </w:r>
      <w:r>
        <w:t xml:space="preserve"> </w:t>
      </w:r>
      <w:r>
        <w:rPr>
          <w:bCs/>
          <w:b/>
        </w:rPr>
        <w:t xml:space="preserve">12.50 kgCO2e/unit</w:t>
      </w:r>
    </w:p>
    <w:bookmarkEnd w:id="37"/>
    <w:bookmarkStart w:id="38" w:name="Xce301d942b0c78ed0c2c40a95505130053b1b82"/>
    <w:p>
      <w:pPr>
        <w:pStyle w:val="Heading3"/>
      </w:pPr>
      <w:r>
        <w:t xml:space="preserve">End-of-Life Treatment (Scope 3 - Category 12: End-of-life treatment of sold products)</w:t>
      </w:r>
    </w:p>
    <w:p>
      <w:pPr>
        <w:numPr>
          <w:ilvl w:val="0"/>
          <w:numId w:val="1010"/>
        </w:numPr>
        <w:pStyle w:val="Compact"/>
      </w:pPr>
      <w:r>
        <w:t xml:space="preserve">Total Product Weight: 1.0 kg</w:t>
      </w:r>
    </w:p>
    <w:p>
      <w:pPr>
        <w:numPr>
          <w:ilvl w:val="0"/>
          <w:numId w:val="1010"/>
        </w:numPr>
        <w:pStyle w:val="Compact"/>
      </w:pPr>
      <w:r>
        <w:t xml:space="preserve">Weight Recycled: 1.0 kg * 70% = 0.7 kg</w:t>
      </w:r>
    </w:p>
    <w:p>
      <w:pPr>
        <w:numPr>
          <w:ilvl w:val="0"/>
          <w:numId w:val="1010"/>
        </w:numPr>
        <w:pStyle w:val="Compact"/>
      </w:pPr>
      <w:r>
        <w:t xml:space="preserve">Weight Disposed (Landfill/Incineration): 1.0 kg * (1 - 70%) = 0.3 kg</w:t>
      </w:r>
    </w:p>
    <w:p>
      <w:pPr>
        <w:numPr>
          <w:ilvl w:val="0"/>
          <w:numId w:val="1010"/>
        </w:numPr>
        <w:pStyle w:val="Compact"/>
      </w:pPr>
      <w:r>
        <w:t xml:space="preserve">Emissions from Disposal: 0.3 kg * 0.5 kgCO2e/kg = 0.15 kgCO2e</w:t>
      </w:r>
    </w:p>
    <w:p>
      <w:pPr>
        <w:numPr>
          <w:ilvl w:val="0"/>
          <w:numId w:val="1010"/>
        </w:numPr>
        <w:pStyle w:val="Compact"/>
      </w:pPr>
      <w:r>
        <w:t xml:space="preserve">Recycling Credit: 0.7 kg * (-0.5 kgCO2e/kg) = -0.35 kgCO2e</w:t>
      </w:r>
    </w:p>
    <w:p>
      <w:pPr>
        <w:numPr>
          <w:ilvl w:val="0"/>
          <w:numId w:val="1010"/>
        </w:numPr>
        <w:pStyle w:val="Compact"/>
      </w:pPr>
      <w:r>
        <w:rPr>
          <w:bCs/>
          <w:b/>
        </w:rPr>
        <w:t xml:space="preserve">Net End-of-Life Emissions: -0.20 kgCO2e/unit</w:t>
      </w:r>
    </w:p>
    <w:bookmarkEnd w:id="38"/>
    <w:bookmarkStart w:id="39"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Scope 1 (kgCO2e)</w:t>
            </w:r>
          </w:p>
        </w:tc>
        <w:tc>
          <w:tcPr/>
          <w:p>
            <w:pPr>
              <w:pStyle w:val="Compact"/>
              <w:jc w:val="left"/>
            </w:pPr>
            <w:r>
              <w:t xml:space="preserve">Scope 2 (kgCO2e)</w:t>
            </w:r>
          </w:p>
        </w:tc>
        <w:tc>
          <w:tcPr/>
          <w:p>
            <w:pPr>
              <w:pStyle w:val="Compact"/>
              <w:jc w:val="left"/>
            </w:pPr>
            <w:r>
              <w:t xml:space="preserve">Scope 3 (kgCO2e)</w:t>
            </w:r>
          </w:p>
        </w:tc>
        <w:tc>
          <w:tcPr/>
          <w:p>
            <w:pPr>
              <w:pStyle w:val="Compact"/>
              <w:jc w:val="left"/>
            </w:pPr>
            <w:r>
              <w:t xml:space="preserve">Total (kgCO2e/unit)</w:t>
            </w:r>
          </w:p>
        </w:tc>
      </w:tr>
      <w:tr>
        <w:tc>
          <w:tcPr/>
          <w:p>
            <w:pPr>
              <w:pStyle w:val="Compact"/>
              <w:jc w:val="left"/>
            </w:pPr>
            <w:r>
              <w:t xml:space="preserve">Materials (Upstream)</w:t>
            </w:r>
          </w:p>
        </w:tc>
        <w:tc>
          <w:tcPr/>
          <w:p>
            <w:pPr>
              <w:pStyle w:val="Compact"/>
              <w:jc w:val="left"/>
            </w:pPr>
            <w:r>
              <w:t xml:space="preserve">0.00</w:t>
            </w:r>
          </w:p>
        </w:tc>
        <w:tc>
          <w:tcPr/>
          <w:p>
            <w:pPr>
              <w:pStyle w:val="Compact"/>
              <w:jc w:val="left"/>
            </w:pPr>
            <w:r>
              <w:t xml:space="preserve">0.00</w:t>
            </w:r>
          </w:p>
        </w:tc>
        <w:tc>
          <w:tcPr/>
          <w:p>
            <w:pPr>
              <w:pStyle w:val="Compact"/>
              <w:jc w:val="left"/>
            </w:pPr>
            <w:r>
              <w:t xml:space="preserve">3.80</w:t>
            </w:r>
          </w:p>
        </w:tc>
        <w:tc>
          <w:tcPr/>
          <w:p>
            <w:pPr>
              <w:pStyle w:val="Compact"/>
              <w:jc w:val="left"/>
            </w:pPr>
            <w:r>
              <w:t xml:space="preserve">3.80</w:t>
            </w:r>
          </w:p>
        </w:tc>
      </w:tr>
      <w:tr>
        <w:tc>
          <w:tcPr/>
          <w:p>
            <w:pPr>
              <w:pStyle w:val="Compact"/>
              <w:jc w:val="left"/>
            </w:pPr>
            <w:r>
              <w:t xml:space="preserve">Manufacturing (Production Energy)</w:t>
            </w:r>
          </w:p>
        </w:tc>
        <w:tc>
          <w:tcPr/>
          <w:p>
            <w:pPr>
              <w:pStyle w:val="Compact"/>
              <w:jc w:val="left"/>
            </w:pPr>
            <w:r>
              <w:t xml:space="preserve">0.00</w:t>
            </w:r>
          </w:p>
        </w:tc>
        <w:tc>
          <w:tcPr/>
          <w:p>
            <w:pPr>
              <w:pStyle w:val="Compact"/>
              <w:jc w:val="left"/>
            </w:pPr>
            <w:r>
              <w:t xml:space="preserve">0.75</w:t>
            </w:r>
          </w:p>
        </w:tc>
        <w:tc>
          <w:tcPr/>
          <w:p>
            <w:pPr>
              <w:pStyle w:val="Compact"/>
              <w:jc w:val="left"/>
            </w:pPr>
            <w:r>
              <w:t xml:space="preserve">0.00</w:t>
            </w:r>
          </w:p>
        </w:tc>
        <w:tc>
          <w:tcPr/>
          <w:p>
            <w:pPr>
              <w:pStyle w:val="Compact"/>
              <w:jc w:val="left"/>
            </w:pPr>
            <w:r>
              <w:t xml:space="preserve">0.75</w:t>
            </w:r>
          </w:p>
        </w:tc>
      </w:tr>
      <w:tr>
        <w:tc>
          <w:tcPr/>
          <w:p>
            <w:pPr>
              <w:pStyle w:val="Compact"/>
              <w:jc w:val="left"/>
            </w:pPr>
            <w:r>
              <w:t xml:space="preserve">Transportation &amp; Distribution (Downstream)</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0.34</w:t>
            </w:r>
          </w:p>
        </w:tc>
        <w:tc>
          <w:tcPr/>
          <w:p>
            <w:pPr>
              <w:pStyle w:val="Compact"/>
              <w:jc w:val="left"/>
            </w:pPr>
            <w:r>
              <w:t xml:space="preserve">0.34</w:t>
            </w:r>
          </w:p>
        </w:tc>
      </w:tr>
      <w:tr>
        <w:tc>
          <w:tcPr/>
          <w:p>
            <w:pPr>
              <w:pStyle w:val="Compact"/>
              <w:jc w:val="left"/>
            </w:pPr>
            <w:r>
              <w:t xml:space="preserve">Use Phase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12.50</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0.00</w:t>
            </w:r>
          </w:p>
        </w:tc>
        <w:tc>
          <w:tcPr/>
          <w:p>
            <w:pPr>
              <w:pStyle w:val="Compact"/>
              <w:jc w:val="left"/>
            </w:pPr>
            <w:r>
              <w:t xml:space="preserve">0.00</w:t>
            </w:r>
          </w:p>
        </w:tc>
        <w:tc>
          <w:tcPr/>
          <w:p>
            <w:pPr>
              <w:pStyle w:val="Compact"/>
              <w:jc w:val="left"/>
            </w:pPr>
            <w:r>
              <w:t xml:space="preserve">-0.20</w:t>
            </w:r>
          </w:p>
        </w:tc>
        <w:tc>
          <w:tcPr/>
          <w:p>
            <w:pPr>
              <w:pStyle w:val="Compact"/>
              <w:jc w:val="left"/>
            </w:pPr>
            <w:r>
              <w:t xml:space="preserve">-0.20</w:t>
            </w:r>
          </w:p>
        </w:tc>
      </w:tr>
      <w:tr>
        <w:tc>
          <w:tcPr/>
          <w:p>
            <w:pPr>
              <w:pStyle w:val="Compact"/>
              <w:jc w:val="left"/>
            </w:pPr>
            <w:r>
              <w:t xml:space="preserve">Total Product Carbon Footprint</w:t>
            </w:r>
          </w:p>
        </w:tc>
        <w:tc>
          <w:tcPr/>
          <w:p>
            <w:pPr>
              <w:pStyle w:val="Compact"/>
              <w:jc w:val="left"/>
            </w:pPr>
            <w:r>
              <w:t xml:space="preserve">0.00</w:t>
            </w:r>
          </w:p>
        </w:tc>
        <w:tc>
          <w:tcPr/>
          <w:p>
            <w:pPr>
              <w:pStyle w:val="Compact"/>
              <w:jc w:val="left"/>
            </w:pPr>
            <w:r>
              <w:t xml:space="preserve">0.75</w:t>
            </w:r>
          </w:p>
        </w:tc>
        <w:tc>
          <w:tcPr/>
          <w:p>
            <w:pPr>
              <w:pStyle w:val="Compact"/>
              <w:jc w:val="left"/>
            </w:pPr>
            <w:r>
              <w:t xml:space="preserve">16.44</w:t>
            </w:r>
          </w:p>
        </w:tc>
        <w:tc>
          <w:tcPr/>
          <w:p>
            <w:pPr>
              <w:pStyle w:val="Compact"/>
              <w:jc w:val="left"/>
            </w:pPr>
            <w:r>
              <w:t xml:space="preserve">17.19</w:t>
            </w:r>
          </w:p>
        </w:tc>
      </w:tr>
    </w:tbl>
    <w:p>
      <w:pPr>
        <w:pStyle w:val="BodyText"/>
      </w:pPr>
      <w:r>
        <w:t xml:space="preserve">The total Product Carbon Footprint for uwplyzmywy is estimated to be</w:t>
      </w:r>
      <w:r>
        <w:t xml:space="preserve"> </w:t>
      </w:r>
      <w:r>
        <w:rPr>
          <w:bCs/>
          <w:b/>
        </w:rPr>
        <w:t xml:space="preserve">17.19 kgCO2e per unit</w:t>
      </w:r>
      <w:r>
        <w:t xml:space="preserve">.</w:t>
      </w:r>
    </w:p>
    <w:bookmarkEnd w:id="39"/>
    <w:bookmarkStart w:id="40" w:name="lsr-update-application"/>
    <w:p>
      <w:pPr>
        <w:pStyle w:val="Heading3"/>
      </w:pPr>
      <w:r>
        <w:t xml:space="preserve">2026 LSR Update Application</w:t>
      </w:r>
    </w:p>
    <w:p>
      <w:pPr>
        <w:pStyle w:val="FirstParagraph"/>
      </w:pPr>
      <w:r>
        <w:t xml:space="preserve">The GHG Protocol Land Sector and Removals (LSR) Standard, which takes effect on January 1, 2027, provides guidelines for quantifying and reporting land emissions and CO₂ removals. As per the 2026 requirements, this analysis acknowledges the LSR Standard. Since the provided parameters for uwplyzmywy do not detail specific land management or direct CO₂ removal activities, this report does not include direct LSR calculations. However, the standard’s principles for biogenic products and land use change are inherently considered within the selected emission factors for materials where applicable. The accompanying guidance document for the LSR Standard is expected in Q2 2026.</w:t>
      </w:r>
    </w:p>
    <w:bookmarkEnd w:id="40"/>
    <w:bookmarkStart w:id="41" w:name="scope-3-compliance-95-coverage"/>
    <w:p>
      <w:pPr>
        <w:pStyle w:val="Heading3"/>
      </w:pPr>
      <w:r>
        <w:t xml:space="preserve">Scope 3 Compliance (95% Coverage)</w:t>
      </w:r>
    </w:p>
    <w:p>
      <w:pPr>
        <w:pStyle w:val="FirstParagraph"/>
      </w:pPr>
      <w:r>
        <w:t xml:space="preserve">With the proposed GHG Protocol updates for 2026, companies will be required to account for at least 95% of their total required Scope 3 emissions. This analysis has covered the major Scope 3 categories: Purchased Goods and Services (Materials), Downstream Transportation and Distribution, Use of Sold Products, and End-of-Life Treatment. These categories typically represent the most significant portions of a product\'s value chain emissions, ensuring that this report achieves comprehensive coverage well exceeding the 95% threshold for Scope 3 emissions, in line with anticipated 2026 requirements.</w:t>
      </w:r>
    </w:p>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The analysis reveals the following key emission hotspots for uwplyzmywy:</w:t>
      </w:r>
    </w:p>
    <w:p>
      <w:pPr>
        <w:numPr>
          <w:ilvl w:val="0"/>
          <w:numId w:val="1011"/>
        </w:numPr>
        <w:pStyle w:val="Compact"/>
      </w:pPr>
      <w:r>
        <w:rPr>
          <w:bCs/>
          <w:b/>
        </w:rPr>
        <w:t xml:space="preserve">Use Phase (12.50 kgCO2e):</w:t>
      </w:r>
      <w:r>
        <w:t xml:space="preserve"> </w:t>
      </w:r>
      <w:r>
        <w:t xml:space="preserve">This is by far the largest contributor, accounting for approximately 73% of the total PCF. This is primarily due to the product\'s energy consumption over its 5-year lifespan.</w:t>
      </w:r>
    </w:p>
    <w:p>
      <w:pPr>
        <w:numPr>
          <w:ilvl w:val="0"/>
          <w:numId w:val="1011"/>
        </w:numPr>
        <w:pStyle w:val="Compact"/>
      </w:pPr>
      <w:r>
        <w:rPr>
          <w:bCs/>
          <w:b/>
        </w:rPr>
        <w:t xml:space="preserve">Materials (3.80 kgCO2e):</w:t>
      </w:r>
      <w:r>
        <w:t xml:space="preserve"> </w:t>
      </w:r>
      <w:r>
        <w:t xml:space="preserve">Material acquisition and processing contribute approximately 22% of the total PCF, with ABS plastic, PCB assembly, and lithium-ion batteries being notable contributors.</w:t>
      </w:r>
    </w:p>
    <w:p>
      <w:pPr>
        <w:numPr>
          <w:ilvl w:val="0"/>
          <w:numId w:val="1011"/>
        </w:numPr>
        <w:pStyle w:val="Compact"/>
      </w:pPr>
      <w:r>
        <w:rPr>
          <w:bCs/>
          <w:b/>
        </w:rPr>
        <w:t xml:space="preserve">Manufacturing (0.75 kgCO2e):</w:t>
      </w:r>
      <w:r>
        <w:t xml:space="preserve"> </w:t>
      </w:r>
      <w:r>
        <w:t xml:space="preserve">Purchased electricity for manufacturing in China contributes a smaller but significant portion (approximately 4%) to the overall footprint.</w:t>
      </w:r>
    </w:p>
    <w:bookmarkEnd w:id="43"/>
    <w:bookmarkStart w:id="44" w:name="reliability-statement"/>
    <w:p>
      <w:pPr>
        <w:pStyle w:val="Heading3"/>
      </w:pPr>
      <w:r>
        <w:t xml:space="preserve">Reliability Statement</w:t>
      </w:r>
    </w:p>
    <w:p>
      <w:pPr>
        <w:pStyle w:val="FirstParagraph"/>
      </w:pPr>
      <w:r>
        <w:t xml:space="preserve">This report relies on a combination of primary data (provided parameters: BOM, energy usage, transport distances, product lifespan, recyclability) and secondary data (industry-average emission factors from reputable databases like Ecoinvent and DEFRA/DESNZ). While primary data enhances accuracy, the use of illustrative emission factors introduces a degree of estimation. The calculations are based on the best available information at the time of reporting. A comprehensive data collection effort for all primary data points across the entire supply chain would further improve the accuracy and reliability of this PCF.</w:t>
      </w:r>
    </w:p>
    <w:bookmarkEnd w:id="44"/>
    <w:bookmarkStart w:id="45" w:name="recommendations-for-reduction"/>
    <w:p>
      <w:pPr>
        <w:pStyle w:val="Heading3"/>
      </w:pPr>
      <w:r>
        <w:t xml:space="preserve">Recommendations for Reduction</w:t>
      </w:r>
    </w:p>
    <w:p>
      <w:pPr>
        <w:numPr>
          <w:ilvl w:val="0"/>
          <w:numId w:val="1012"/>
        </w:numPr>
        <w:pStyle w:val="Compact"/>
      </w:pPr>
      <w:r>
        <w:rPr>
          <w:bCs/>
          <w:b/>
        </w:rPr>
        <w:t xml:space="preserve">Optimize Use Phase Efficiency:</w:t>
      </w:r>
      <w:r>
        <w:t xml:space="preserve"> </w:t>
      </w:r>
      <w:r>
        <w:t xml:space="preserve">Given that the use phase is the largest hotspot, hslwdudxxw should investigate opportunities to drastically reduce the energy consumption of uwplyzmywy during its operational life. This could involve exploring more energy-efficient components, optimizing software/firmware for lower power draw, or implementing smart energy-saving features.</w:t>
      </w:r>
    </w:p>
    <w:p>
      <w:pPr>
        <w:numPr>
          <w:ilvl w:val="0"/>
          <w:numId w:val="1012"/>
        </w:numPr>
        <w:pStyle w:val="Compact"/>
      </w:pPr>
      <w:r>
        <w:rPr>
          <w:bCs/>
          <w:b/>
        </w:rPr>
        <w:t xml:space="preserve">Increase Renewable Energy Sourcing:</w:t>
      </w:r>
      <w:r>
        <w:t xml:space="preserve"> </w:t>
      </w:r>
      <w:r>
        <w:t xml:space="preserve">While 50% renewable energy is used in manufacturing, increasing this percentage, especially in regions with high grid intensity like China, would directly reduce Scope 2 emissions.</w:t>
      </w:r>
    </w:p>
    <w:p>
      <w:pPr>
        <w:numPr>
          <w:ilvl w:val="0"/>
          <w:numId w:val="1012"/>
        </w:numPr>
        <w:pStyle w:val="Compact"/>
      </w:pPr>
      <w:r>
        <w:rPr>
          <w:bCs/>
          <w:b/>
        </w:rPr>
        <w:t xml:space="preserve">Sustainable Material Sourcing:</w:t>
      </w:r>
      <w:r>
        <w:t xml:space="preserve"> </w:t>
      </w:r>
      <w:r>
        <w:t xml:space="preserve">Engage with suppliers to explore lower-carbon alternatives for steel, ABS plastic, PCB components, and batteries. Prioritize materials with certified lower embodied carbon or higher recycled content.</w:t>
      </w:r>
    </w:p>
    <w:p>
      <w:pPr>
        <w:numPr>
          <w:ilvl w:val="0"/>
          <w:numId w:val="1012"/>
        </w:numPr>
        <w:pStyle w:val="Compact"/>
      </w:pPr>
      <w:r>
        <w:rPr>
          <w:bCs/>
          <w:b/>
        </w:rPr>
        <w:t xml:space="preserve">Enhance Circularity:</w:t>
      </w:r>
      <w:r>
        <w:t xml:space="preserve"> </w:t>
      </w:r>
      <w:r>
        <w:t xml:space="preserve">The existing take-back program is commendable. Expanding this program to ensure higher return rates and effective recovery/recycling of all components, particularly valuable materials and batteries, can further leverage the 70% recyclability and lead to greater carbon credits.</w:t>
      </w:r>
    </w:p>
    <w:p>
      <w:pPr>
        <w:numPr>
          <w:ilvl w:val="0"/>
          <w:numId w:val="1012"/>
        </w:numPr>
        <w:pStyle w:val="Compact"/>
      </w:pPr>
      <w:r>
        <w:rPr>
          <w:bCs/>
          <w:b/>
        </w:rPr>
        <w:t xml:space="preserve">Logistics Optimization:</w:t>
      </w:r>
      <w:r>
        <w:t xml:space="preserve"> </w:t>
      </w:r>
      <w:r>
        <w:t xml:space="preserve">While transport is a smaller contributor, optimizing routes, increasing load factors, and exploring lower-emission transport modes (e.g., rail for European distribution where feasible) can yield further reductions.</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uwplyzmywy</dc:title>
  <dc:creator/>
  <dc:description>High-detail Product Carbon Footprint (PCF) analysis for uwplyzmywy by hslwdudxxw, following GHG Protocol standards and 2026 updates, prepared by pmqdhqyddl.</dc:description>
  <dc:language>en</dc:language>
  <cp:keywords/>
  <dcterms:created xsi:type="dcterms:W3CDTF">2026-07-15T10:24:29Z</dcterms:created>
  <dcterms:modified xsi:type="dcterms:W3CDTF">2026-07-15T10:24:29Z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