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uwldjsisjx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uwldjsisjx</w:t>
      </w:r>
    </w:p>
    <w:p>
      <w:pPr>
        <w:pStyle w:val="BodyText"/>
      </w:pPr>
      <w:r>
        <w:rPr>
          <w:bCs/>
          <w:b/>
        </w:rPr>
        <w:t xml:space="preserve">Company Name:</w:t>
      </w:r>
      <w:r>
        <w:t xml:space="preserve"> </w:t>
      </w:r>
      <w:r>
        <w:t xml:space="preserve">uxjqqjgfsk</w:t>
      </w:r>
    </w:p>
    <w:p>
      <w:pPr>
        <w:pStyle w:val="BodyText"/>
      </w:pPr>
      <w:r>
        <w:rPr>
          <w:bCs/>
          <w:b/>
        </w:rPr>
        <w:t xml:space="preserve">Senior Sustainability Consultant:</w:t>
      </w:r>
      <w:r>
        <w:t xml:space="preserve"> </w:t>
      </w:r>
      <w:r>
        <w:t xml:space="preserve">ytsmoqehvj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as of May 20, 2026.</w:t>
      </w:r>
      <w:r>
        <w:t xml:space="preserve"> </w:t>
      </w:r>
      <w:r>
        <w:t xml:space="preserve">The calculations rely on specified parameters and illustrative emission factors where primary data was</w:t>
      </w:r>
      <w:r>
        <w:t xml:space="preserve"> </w:t>
      </w:r>
      <w:r>
        <w:t xml:space="preserve">not provided. For a definitive assessment, further primary data collection and verification may be required.</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20,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uwldjsisjx,</w:t>
      </w:r>
      <w:r>
        <w:t xml:space="preserve"> </w:t>
      </w:r>
      <w:r>
        <w:t xml:space="preserve">manufactured by uxjqqjgfsk. Conducted by ytsmoqehvj, Senior Sustainability Consultant, this analysis</w:t>
      </w:r>
      <w:r>
        <w:t xml:space="preserve"> </w:t>
      </w:r>
      <w:r>
        <w:t xml:space="preserve">adheres strictly to the GHG Protocol, incorporating the 2026 Land Sector and Removals (LSR) Standard</w:t>
      </w:r>
      <w:r>
        <w:t xml:space="preserve"> </w:t>
      </w:r>
      <w:r>
        <w:t xml:space="preserve">and ensuring over 95% coverage for Scope 3 emissions. The functional unit for this study is 1.0 unit of uwldjsisjx,</w:t>
      </w:r>
      <w:r>
        <w:t xml:space="preserve"> </w:t>
      </w:r>
      <w:r>
        <w:t xml:space="preserve">with a system boundary set at \'factory_gate\', extending to encompass the entire product lifecycle including</w:t>
      </w:r>
      <w:r>
        <w:t xml:space="preserve"> </w:t>
      </w:r>
      <w:r>
        <w:t xml:space="preserve">raw material acquisition, manufacturing, transport, use phase, and end-of-life. The primary geographic</w:t>
      </w:r>
      <w:r>
        <w:t xml:space="preserve"> </w:t>
      </w:r>
      <w:r>
        <w:t xml:space="preserve">focus for final production is China, with a supply chain focus on Europe.</w:t>
      </w:r>
      <w:r>
        <w:t xml:space="preserve"> </w:t>
      </w:r>
      <w:r>
        <w:t xml:space="preserve">The total carbon footprint of uwldjsisjx, calculated across its lifecycle, provides critical insights</w:t>
      </w:r>
      <w:r>
        <w:t xml:space="preserve"> </w:t>
      </w:r>
      <w:r>
        <w:t xml:space="preserve">into emissions hotspots, guiding strategies for reduction and more sustainable product development.</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This Product Carbon Footprint (PCF) analysis is performed following the five-step methodology prescribed</w:t>
      </w:r>
      <w:r>
        <w:t xml:space="preserve"> </w:t>
      </w:r>
      <w:r>
        <w:t xml:space="preserve">by the GHG Protocol Product Standard.</w:t>
      </w:r>
    </w:p>
    <w:bookmarkStart w:id="23" w:name="accounting-standard"/>
    <w:p>
      <w:pPr>
        <w:pStyle w:val="Heading3"/>
      </w:pPr>
      <w:r>
        <w:t xml:space="preserve">2.1. Accounting Standard</w:t>
      </w:r>
    </w:p>
    <w:p>
      <w:pPr>
        <w:numPr>
          <w:ilvl w:val="0"/>
          <w:numId w:val="1001"/>
        </w:numPr>
        <w:pStyle w:val="Compact"/>
      </w:pPr>
      <w:r>
        <w:rPr>
          <w:bCs/>
          <w:b/>
        </w:rPr>
        <w:t xml:space="preserve">Standard Applied:</w:t>
      </w:r>
      <w:r>
        <w:t xml:space="preserve"> </w:t>
      </w:r>
      <w:r>
        <w:t xml:space="preserve">GHG Protocol (Product Life Cycle Accounting and Reporting Standard).</w:t>
      </w:r>
    </w:p>
    <w:p>
      <w:pPr>
        <w:numPr>
          <w:ilvl w:val="0"/>
          <w:numId w:val="1001"/>
        </w:numPr>
        <w:pStyle w:val="Compact"/>
      </w:pPr>
      <w:r>
        <w:rPr>
          <w:bCs/>
          <w:b/>
        </w:rPr>
        <w:t xml:space="preserve">2026 LSR Update:</w:t>
      </w:r>
      <w:r>
        <w:t xml:space="preserve"> </w:t>
      </w:r>
      <w:r>
        <w:t xml:space="preserve">The Land Sector and Removals (LSR) Standard is applied for the accounting of land use emissions and carbon removals, particularly relevant in the raw material extraction and biomass-related components of the supply chain.</w:t>
      </w:r>
    </w:p>
    <w:bookmarkEnd w:id="23"/>
    <w:bookmarkStart w:id="24" w:name="functional-unit"/>
    <w:p>
      <w:pPr>
        <w:pStyle w:val="Heading3"/>
      </w:pPr>
      <w:r>
        <w:t xml:space="preserve">2.2. Functional Unit</w:t>
      </w:r>
    </w:p>
    <w:p>
      <w:pPr>
        <w:numPr>
          <w:ilvl w:val="0"/>
          <w:numId w:val="1002"/>
        </w:numPr>
        <w:pStyle w:val="Compact"/>
      </w:pPr>
      <w:r>
        <w:rPr>
          <w:bCs/>
          <w:b/>
        </w:rPr>
        <w:t xml:space="preserve">Functional Unit:</w:t>
      </w:r>
      <w:r>
        <w:t xml:space="preserve"> </w:t>
      </w:r>
      <w:r>
        <w:t xml:space="preserve">1.0 unit of uwldjsisjx. This unit serves as the reference basis to which all input and output data are normalized, allowing for comparability.</w:t>
      </w:r>
    </w:p>
    <w:bookmarkEnd w:id="24"/>
    <w:bookmarkStart w:id="25" w:name="system-boundary"/>
    <w:p>
      <w:pPr>
        <w:pStyle w:val="Heading3"/>
      </w:pPr>
      <w:r>
        <w:t xml:space="preserve">2.3. System Boundary</w:t>
      </w:r>
    </w:p>
    <w:p>
      <w:pPr>
        <w:numPr>
          <w:ilvl w:val="0"/>
          <w:numId w:val="1003"/>
        </w:numPr>
        <w:pStyle w:val="Compact"/>
      </w:pPr>
      <w:r>
        <w:rPr>
          <w:bCs/>
          <w:b/>
        </w:rPr>
        <w:t xml:space="preserve">Boundary Definition:</w:t>
      </w:r>
      <w:r>
        <w:t xml:space="preserve"> </w:t>
      </w:r>
      <w:r>
        <w:t xml:space="preserve">The analysis employs a "cradle-to-grave" system boundary, encompassing all stages from raw material extraction ("cradle") through manufacturing, distribution, product use, and ultimately to its end-of-life ("grave"). The initial reporting cutoff for manufacturing is specified as \'factory_gate\'.</w:t>
      </w:r>
    </w:p>
    <w:p>
      <w:pPr>
        <w:numPr>
          <w:ilvl w:val="0"/>
          <w:numId w:val="1003"/>
        </w:numPr>
        <w:pStyle w:val="Compact"/>
      </w:pPr>
      <w:r>
        <w:rPr>
          <w:bCs/>
          <w:b/>
        </w:rPr>
        <w:t xml:space="preserve">Lifecycle Stages Included:</w:t>
      </w:r>
    </w:p>
    <w:p>
      <w:pPr>
        <w:numPr>
          <w:ilvl w:val="1"/>
          <w:numId w:val="1004"/>
        </w:numPr>
        <w:pStyle w:val="Compact"/>
      </w:pPr>
      <w:r>
        <w:t xml:space="preserve">Raw Material Acquisition &amp; Pre-processing (Upstream)</w:t>
      </w:r>
    </w:p>
    <w:p>
      <w:pPr>
        <w:numPr>
          <w:ilvl w:val="1"/>
          <w:numId w:val="1004"/>
        </w:numPr>
        <w:pStyle w:val="Compact"/>
      </w:pPr>
      <w:r>
        <w:t xml:space="preserve">Manufacturing &amp; Production (Core Product &amp; Packaging)</w:t>
      </w:r>
    </w:p>
    <w:p>
      <w:pPr>
        <w:numPr>
          <w:ilvl w:val="1"/>
          <w:numId w:val="1004"/>
        </w:numPr>
        <w:pStyle w:val="Compact"/>
      </w:pPr>
      <w:r>
        <w:t xml:space="preserve">Transportation &amp; Distribution (Upstream &amp; Downstream)</w:t>
      </w:r>
    </w:p>
    <w:p>
      <w:pPr>
        <w:numPr>
          <w:ilvl w:val="1"/>
          <w:numId w:val="1004"/>
        </w:numPr>
        <w:pStyle w:val="Compact"/>
      </w:pPr>
      <w:r>
        <w:t xml:space="preserve">Product Use Phase</w:t>
      </w:r>
    </w:p>
    <w:p>
      <w:pPr>
        <w:numPr>
          <w:ilvl w:val="1"/>
          <w:numId w:val="1004"/>
        </w:numPr>
        <w:pStyle w:val="Compact"/>
      </w:pPr>
      <w:r>
        <w:t xml:space="preserve">End-of-Life Treatment (Disposal &amp; Recycling)</w:t>
      </w:r>
    </w:p>
    <w:bookmarkEnd w:id="25"/>
    <w:bookmarkStart w:id="26" w:name="geographic-scope"/>
    <w:p>
      <w:pPr>
        <w:pStyle w:val="Heading3"/>
      </w:pPr>
      <w:r>
        <w:t xml:space="preserve">2.4.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(for raw material sourcing and distribution to key markets).</w:t>
      </w:r>
    </w:p>
    <w:bookmarkEnd w:id="26"/>
    <w:bookmarkStart w:id="27" w:name="allocation"/>
    <w:p>
      <w:pPr>
        <w:pStyle w:val="Heading3"/>
      </w:pPr>
      <w:r>
        <w:t xml:space="preserve">2.5. Allocation</w:t>
      </w:r>
    </w:p>
    <w:p>
      <w:pPr>
        <w:numPr>
          <w:ilvl w:val="0"/>
          <w:numId w:val="1006"/>
        </w:numPr>
        <w:pStyle w:val="Compact"/>
      </w:pPr>
      <w:r>
        <w:rPr>
          <w:bCs/>
          <w:b/>
        </w:rPr>
        <w:t xml:space="preserve">Allocation Principle:</w:t>
      </w:r>
      <w:r>
        <w:t xml:space="preserve"> </w:t>
      </w:r>
      <w:r>
        <w:t xml:space="preserve">Emissions are allocated based on physical causality where possible. For co-products or multi-functional processes, mass-based or economic allocation is applied where physical causality cannot be directly established, consistent with GHG Protocol guidance.</w:t>
      </w:r>
    </w:p>
    <w:p>
      <w:r>
        <w:pict>
          <v:rect style="width:0;height:1.5pt" o:hralign="center" o:hrstd="t" o:hr="t"/>
        </w:pict>
      </w:r>
    </w:p>
    <w:bookmarkEnd w:id="27"/>
    <w:bookmarkEnd w:id="28"/>
    <w:bookmarkStart w:id="35" w:name="X2bf58de29a7a901ba932b9a6a779f7f86e80a1b"/>
    <w:p>
      <w:pPr>
        <w:pStyle w:val="Heading2"/>
      </w:pPr>
      <w:r>
        <w:t xml:space="preserve">3. Lifecycle Mapping and Data Collection (LCI Inventory)</w:t>
      </w:r>
    </w:p>
    <w:p>
      <w:pPr>
        <w:pStyle w:val="FirstParagraph"/>
      </w:pPr>
      <w:r>
        <w:t xml:space="preserve">This section details the inputs and processes mapped across the product lifecycle of uwldjsisjx, drawing</w:t>
      </w:r>
      <w:r>
        <w:t xml:space="preserve"> </w:t>
      </w:r>
      <w:r>
        <w:t xml:space="preserve">from the provided parameters and utilizing industry-standard emission factors.</w:t>
      </w:r>
    </w:p>
    <w:bookmarkStart w:id="30" w:name="Xb7fc8df257490513b688af9b78462e20644a112"/>
    <w:p>
      <w:pPr>
        <w:pStyle w:val="Heading3"/>
      </w:pPr>
      <w:r>
        <w:t xml:space="preserve">3.1. Raw Materials and Components (Upstream - Scope 3, Category 1)</w:t>
      </w:r>
    </w:p>
    <w:p>
      <w:pPr>
        <w:pStyle w:val="FirstParagraph"/>
      </w:pPr>
      <w:r>
        <w:t xml:space="preserve">The Detailed Bill of Materials (BOM) for uwldjsisjx, represented by `xtqftttr` in the input,</w:t>
      </w:r>
      <w:r>
        <w:t xml:space="preserve"> </w:t>
      </w:r>
      <w:r>
        <w:t xml:space="preserve">is a crucial data source for high-accuracy material impact calculation. The total carbon impact</w:t>
      </w:r>
      <w:r>
        <w:t xml:space="preserve"> </w:t>
      </w:r>
      <w:r>
        <w:t xml:space="preserve">for each BOM item is directly provided and utilized.</w:t>
      </w:r>
    </w:p>
    <w:bookmarkStart w:id="29" w:name="X536f209aaef50cd4ff76422036074ddcc7b2a8a"/>
    <w:p>
      <w:pPr>
        <w:pStyle w:val="Heading4"/>
      </w:pPr>
      <w:r>
        <w:t xml:space="preserve">Detailed Bill of Materials (BOM) - xtqftttr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2.8</w:t>
            </w:r>
          </w:p>
        </w:tc>
        <w:tc>
          <w:tcPr/>
          <w:p>
            <w:pPr>
              <w:pStyle w:val="Compact"/>
              <w:jc w:val="left"/>
            </w:pPr>
            <w:r>
              <w:t xml:space="preserve">0.42</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7</w:t>
            </w:r>
          </w:p>
        </w:tc>
        <w:tc>
          <w:tcPr/>
          <w:p>
            <w:pPr>
              <w:pStyle w:val="Compact"/>
              <w:jc w:val="left"/>
            </w:pPr>
            <w:r>
              <w:t xml:space="preserve">Screws (Steel)</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r>
        <w:tc>
          <w:tcPr>
            <w:gridSpan w:val="7"/>
          </w:tcPr>
          <w:p>
            <w:pPr>
              <w:pStyle w:val="Compact"/>
              <w:jc w:val="left"/>
            </w:pPr>
            <w:r>
              <w:t xml:space="preserve">Total Material Carbon Footprint</w:t>
            </w:r>
          </w:p>
        </w:tc>
        <w:tc>
          <w:tcPr/>
          <w:p>
            <w:pPr>
              <w:pStyle w:val="Compact"/>
              <w:jc w:val="left"/>
            </w:pPr>
            <w:r>
              <w:t xml:space="preserve">4.21</w:t>
            </w:r>
          </w:p>
        </w:tc>
      </w:tr>
    </w:tbl>
    <w:bookmarkEnd w:id="29"/>
    <w:bookmarkEnd w:id="30"/>
    <w:bookmarkStart w:id="31" w:name="Xec75fc4fc60915a72eba88e03dd1cc21d48db56"/>
    <w:p>
      <w:pPr>
        <w:pStyle w:val="Heading3"/>
      </w:pPr>
      <w:r>
        <w:t xml:space="preserve">3.2. Energy Inputs (Production Phase - Scope 2 &amp; 3)</w:t>
      </w:r>
    </w:p>
    <w:p>
      <w:pPr>
        <w:numPr>
          <w:ilvl w:val="0"/>
          <w:numId w:val="1007"/>
        </w:numPr>
        <w:pStyle w:val="Compact"/>
      </w:pPr>
      <w:r>
        <w:rPr>
          <w:bCs/>
          <w:b/>
        </w:rPr>
        <w:t xml:space="preserve">Energy Intensity (kWh/unit):</w:t>
      </w:r>
      <w:r>
        <w:t xml:space="preserve"> </w:t>
      </w:r>
      <w:r>
        <w:t xml:space="preserve">`dexmtotdhw` (e.g., 15 kWh/unit). This represents the total electrical energy consumed during the manufacturing process of one unit of uwldjsisjx.</w:t>
      </w:r>
    </w:p>
    <w:p>
      <w:pPr>
        <w:numPr>
          <w:ilvl w:val="0"/>
          <w:numId w:val="1007"/>
        </w:numPr>
        <w:pStyle w:val="Compact"/>
      </w:pPr>
      <w:r>
        <w:rPr>
          <w:bCs/>
          <w:b/>
        </w:rPr>
        <w:t xml:space="preserve">Renewable Energy Usage:</w:t>
      </w:r>
      <w:r>
        <w:t xml:space="preserve"> </w:t>
      </w:r>
      <w:r>
        <w:t xml:space="preserve">`rjsljkqfqu` (e.g., 75%). This percentage of energy is sourced from renewable sources, significantly impacting Scope 2 emissions.</w:t>
      </w:r>
    </w:p>
    <w:p>
      <w:pPr>
        <w:numPr>
          <w:ilvl w:val="0"/>
          <w:numId w:val="1007"/>
        </w:numPr>
        <w:pStyle w:val="Compact"/>
      </w:pPr>
      <w:r>
        <w:rPr>
          <w:bCs/>
          <w:b/>
        </w:rPr>
        <w:t xml:space="preserve">Non-Renewable Energy Usage:</w:t>
      </w:r>
      <w:r>
        <w:t xml:space="preserve"> </w:t>
      </w:r>
      <w:r>
        <w:t xml:space="preserve">25% (100% - 75%).</w:t>
      </w:r>
    </w:p>
    <w:p>
      <w:pPr>
        <w:numPr>
          <w:ilvl w:val="0"/>
          <w:numId w:val="1007"/>
        </w:numPr>
        <w:pStyle w:val="Compact"/>
      </w:pPr>
      <w:r>
        <w:rPr>
          <w:bCs/>
          <w:b/>
        </w:rPr>
        <w:t xml:space="preserve">Production Location:</w:t>
      </w:r>
      <w:r>
        <w:t xml:space="preserve"> </w:t>
      </w:r>
      <w:r>
        <w:t xml:space="preserve">China. Grid emission factors for non-renewable electricity in China are used.</w:t>
      </w:r>
      <w:r>
        <w:br/>
      </w:r>
      <w:r>
        <w:rPr>
          <w:iCs/>
          <w:i/>
        </w:rPr>
        <w:t xml:space="preserve">Illustrative Emission Factor (China Grid Mix):</w:t>
      </w:r>
      <w:r>
        <w:t xml:space="preserve"> </w:t>
      </w:r>
      <w:r>
        <w:t xml:space="preserve">0.55 kgCO2e/kWh.</w:t>
      </w:r>
    </w:p>
    <w:p>
      <w:pPr>
        <w:numPr>
          <w:ilvl w:val="0"/>
          <w:numId w:val="1007"/>
        </w:numPr>
        <w:pStyle w:val="Compact"/>
      </w:pPr>
      <w:r>
        <w:t xml:space="preserve">Any direct fuel combustion at the facility (Scope 1) would be accounted for if specific data were provided; for this report, primary energy is assumed to be electricity.</w:t>
      </w:r>
    </w:p>
    <w:bookmarkEnd w:id="31"/>
    <w:bookmarkStart w:id="32" w:name="Xc8deb527b37437f17d1967a362f5b22c76a0ac9"/>
    <w:p>
      <w:pPr>
        <w:pStyle w:val="Heading3"/>
      </w:pPr>
      <w:r>
        <w:t xml:space="preserve">3.3. Transportation and Logistics (Scope 3, Categories 4 &amp; 9)</w:t>
      </w:r>
    </w:p>
    <w:p>
      <w:pPr>
        <w:pStyle w:val="FirstParagraph"/>
      </w:pPr>
      <w:r>
        <w:t xml:space="preserve">Logistics data includes both inbound transport of raw materials (upstream) and outbound transport</w:t>
      </w:r>
      <w:r>
        <w:t xml:space="preserve"> </w:t>
      </w:r>
      <w:r>
        <w:t xml:space="preserve">of the finished product (downstream).</w:t>
      </w:r>
    </w:p>
    <w:p>
      <w:pPr>
        <w:numPr>
          <w:ilvl w:val="0"/>
          <w:numId w:val="1008"/>
        </w:numPr>
        <w:pStyle w:val="Compact"/>
      </w:pPr>
      <w:r>
        <w:rPr>
          <w:bCs/>
          <w:b/>
        </w:rPr>
        <w:t xml:space="preserve">Upstream Transport (Raw Materials/Components):</w:t>
      </w:r>
    </w:p>
    <w:p>
      <w:pPr>
        <w:numPr>
          <w:ilvl w:val="1"/>
          <w:numId w:val="1009"/>
        </w:numPr>
        <w:pStyle w:val="Compact"/>
      </w:pPr>
      <w:r>
        <w:rPr>
          <w:bCs/>
          <w:b/>
        </w:rPr>
        <w:t xml:space="preserve">Transport Mode:</w:t>
      </w:r>
      <w:r>
        <w:t xml:space="preserve"> </w:t>
      </w:r>
      <w:r>
        <w:t xml:space="preserve">`Select Mode` (e.g., Road Freight (HGV)).</w:t>
      </w:r>
    </w:p>
    <w:p>
      <w:pPr>
        <w:numPr>
          <w:ilvl w:val="1"/>
          <w:numId w:val="1009"/>
        </w:numPr>
        <w:pStyle w:val="Compact"/>
      </w:pPr>
      <w:r>
        <w:rPr>
          <w:bCs/>
          <w:b/>
        </w:rPr>
        <w:t xml:space="preserve">Transport Distance:</w:t>
      </w:r>
      <w:r>
        <w:t xml:space="preserve"> </w:t>
      </w:r>
      <w:r>
        <w:t xml:space="preserve">`zofjifehgh` (e.g., 1500 km, averaged across supply chain).</w:t>
      </w:r>
    </w:p>
    <w:p>
      <w:pPr>
        <w:numPr>
          <w:ilvl w:val="1"/>
          <w:numId w:val="1009"/>
        </w:numPr>
        <w:pStyle w:val="Compact"/>
      </w:pPr>
      <w:r>
        <w:rPr>
          <w:iCs/>
          <w:i/>
        </w:rPr>
        <w:t xml:space="preserve">Illustrative Emission Factor (Road Freight HGV, Europe-focused supply chain):</w:t>
      </w:r>
      <w:r>
        <w:t xml:space="preserve"> </w:t>
      </w:r>
      <w:r>
        <w:t xml:space="preserve">0.09 kgCO2e/tonne-km.</w:t>
      </w:r>
    </w:p>
    <w:p>
      <w:pPr>
        <w:numPr>
          <w:ilvl w:val="1"/>
          <w:numId w:val="1009"/>
        </w:numPr>
        <w:pStyle w:val="Compact"/>
      </w:pPr>
      <w:r>
        <w:rPr>
          <w:bCs/>
          <w:b/>
        </w:rPr>
        <w:t xml:space="preserve">Estimated Raw Material Mass:</w:t>
      </w:r>
      <w:r>
        <w:t xml:space="preserve"> </w:t>
      </w:r>
      <w:r>
        <w:t xml:space="preserve">Approximately 1.0 kg/unit (sum of BOM quantities).</w:t>
      </w:r>
    </w:p>
    <w:p>
      <w:pPr>
        <w:numPr>
          <w:ilvl w:val="0"/>
          <w:numId w:val="1008"/>
        </w:numPr>
        <w:pStyle w:val="Compact"/>
      </w:pPr>
      <w:r>
        <w:rPr>
          <w:bCs/>
          <w:b/>
        </w:rPr>
        <w:t xml:space="preserve">Downstream Transport (Finished Product Distribution):</w:t>
      </w:r>
    </w:p>
    <w:p>
      <w:pPr>
        <w:numPr>
          <w:ilvl w:val="1"/>
          <w:numId w:val="1010"/>
        </w:numPr>
        <w:pStyle w:val="Compact"/>
      </w:pPr>
      <w:r>
        <w:rPr>
          <w:bCs/>
          <w:b/>
        </w:rPr>
        <w:t xml:space="preserve">Primary Transport Mode:</w:t>
      </w:r>
      <w:r>
        <w:t xml:space="preserve"> </w:t>
      </w:r>
      <w:r>
        <w:t xml:space="preserve">`Select Mode` (e.g., Road Freight (HGV)).</w:t>
      </w:r>
    </w:p>
    <w:p>
      <w:pPr>
        <w:numPr>
          <w:ilvl w:val="1"/>
          <w:numId w:val="1010"/>
        </w:numPr>
        <w:pStyle w:val="Compact"/>
      </w:pPr>
      <w:r>
        <w:rPr>
          <w:bCs/>
          <w:b/>
        </w:rPr>
        <w:t xml:space="preserve">Primary Transport Distance:</w:t>
      </w:r>
      <w:r>
        <w:t xml:space="preserve"> </w:t>
      </w:r>
      <w:r>
        <w:t xml:space="preserve">`zofjifehgh` (e.g., 500 km to distribution hubs).</w:t>
      </w:r>
    </w:p>
    <w:p>
      <w:pPr>
        <w:numPr>
          <w:ilvl w:val="1"/>
          <w:numId w:val="1010"/>
        </w:numPr>
        <w:pStyle w:val="Compact"/>
      </w:pPr>
      <w:r>
        <w:rPr>
          <w:bCs/>
          <w:b/>
        </w:rPr>
        <w:t xml:space="preserve">Last-Mile Delivery Channel:</w:t>
      </w:r>
      <w:r>
        <w:t xml:space="preserve"> </w:t>
      </w:r>
      <w:r>
        <w:t xml:space="preserve">`Delivery Type` (e.g., Parcel Post - Van Delivery).</w:t>
      </w:r>
    </w:p>
    <w:p>
      <w:pPr>
        <w:numPr>
          <w:ilvl w:val="1"/>
          <w:numId w:val="1010"/>
        </w:numPr>
        <w:pStyle w:val="Compact"/>
      </w:pPr>
      <w:r>
        <w:rPr>
          <w:bCs/>
          <w:b/>
        </w:rPr>
        <w:t xml:space="preserve">Estimated Last-Mile Distance:</w:t>
      </w:r>
      <w:r>
        <w:t xml:space="preserve"> </w:t>
      </w:r>
      <w:r>
        <w:t xml:space="preserve">50 km.</w:t>
      </w:r>
    </w:p>
    <w:p>
      <w:pPr>
        <w:numPr>
          <w:ilvl w:val="1"/>
          <w:numId w:val="1010"/>
        </w:numPr>
        <w:pStyle w:val="Compact"/>
      </w:pPr>
      <w:r>
        <w:rPr>
          <w:iCs/>
          <w:i/>
        </w:rPr>
        <w:t xml:space="preserve">Illustrative Emission Factor (Parcel Van Delivery):</w:t>
      </w:r>
      <w:r>
        <w:t xml:space="preserve"> </w:t>
      </w:r>
      <w:r>
        <w:t xml:space="preserve">0.2 kgCO2e/km (assuming ~10 parcels per van trip for allocation, specific to delivery service).</w:t>
      </w:r>
    </w:p>
    <w:bookmarkEnd w:id="32"/>
    <w:bookmarkStart w:id="33" w:name="use-phase-scope-3-category-11"/>
    <w:p>
      <w:pPr>
        <w:pStyle w:val="Heading3"/>
      </w:pPr>
      <w:r>
        <w:t xml:space="preserve">3.4. Use Phase (Scope 3, Category 11)</w:t>
      </w:r>
    </w:p>
    <w:p>
      <w:pPr>
        <w:pStyle w:val="FirstParagraph"/>
      </w:pPr>
      <w:r>
        <w:t xml:space="preserve">The use phase emissions are calculated based on the product\'s lifespan and its energy consumption during use.</w:t>
      </w:r>
    </w:p>
    <w:p>
      <w:pPr>
        <w:numPr>
          <w:ilvl w:val="0"/>
          <w:numId w:val="1011"/>
        </w:numPr>
        <w:pStyle w:val="Compact"/>
      </w:pPr>
      <w:r>
        <w:rPr>
          <w:bCs/>
          <w:b/>
        </w:rPr>
        <w:t xml:space="preserve">Product Lifespan:</w:t>
      </w:r>
      <w:r>
        <w:t xml:space="preserve"> </w:t>
      </w:r>
      <w:r>
        <w:t xml:space="preserve">`wnpqpwznyg` (e.g., 5 years).</w:t>
      </w:r>
    </w:p>
    <w:p>
      <w:pPr>
        <w:numPr>
          <w:ilvl w:val="0"/>
          <w:numId w:val="1011"/>
        </w:numPr>
        <w:pStyle w:val="Compact"/>
      </w:pPr>
      <w:r>
        <w:rPr>
          <w:bCs/>
          <w:b/>
        </w:rPr>
        <w:t xml:space="preserve">Energy Consumption in Use:</w:t>
      </w:r>
      <w:r>
        <w:t xml:space="preserve"> </w:t>
      </w:r>
      <w:r>
        <w:t xml:space="preserve">`opxhnoznnt` (e.g., 20 kWh/year).</w:t>
      </w:r>
    </w:p>
    <w:p>
      <w:pPr>
        <w:numPr>
          <w:ilvl w:val="0"/>
          <w:numId w:val="1011"/>
        </w:numPr>
        <w:pStyle w:val="Compact"/>
      </w:pPr>
      <w:r>
        <w:rPr>
          <w:bCs/>
          <w:b/>
        </w:rPr>
        <w:t xml:space="preserve">Total Energy Consumption over Lifespan:</w:t>
      </w:r>
      <w:r>
        <w:t xml:space="preserve"> </w:t>
      </w:r>
      <w:r>
        <w:t xml:space="preserve">5 years * 20 kWh/year = 100 kWh.</w:t>
      </w:r>
    </w:p>
    <w:p>
      <w:pPr>
        <w:numPr>
          <w:ilvl w:val="0"/>
          <w:numId w:val="1011"/>
        </w:numPr>
        <w:pStyle w:val="Compact"/>
      </w:pPr>
      <w:r>
        <w:rPr>
          <w:bCs/>
          <w:b/>
        </w:rPr>
        <w:t xml:space="preserve">Assumed Electricity Grid Mix (Europe - Consumer Use):</w:t>
      </w:r>
      <w:r>
        <w:t xml:space="preserve"> </w:t>
      </w:r>
      <w:r>
        <w:t xml:space="preserve">0.25 kgCO2e/kWh (illustrative average for European consumer electricity).</w:t>
      </w:r>
    </w:p>
    <w:bookmarkEnd w:id="33"/>
    <w:bookmarkStart w:id="34" w:name="X3261202975bfccb1283f2bd5fabef2dfdbe9c90"/>
    <w:p>
      <w:pPr>
        <w:pStyle w:val="Heading3"/>
      </w:pPr>
      <w:r>
        <w:t xml:space="preserve">3.5. End-of-Life (EoL) Scenarios (Scope 3, Category 12)</w:t>
      </w:r>
    </w:p>
    <w:p>
      <w:pPr>
        <w:pStyle w:val="FirstParagraph"/>
      </w:pPr>
      <w:r>
        <w:t xml:space="preserve">End-of-life impacts reflect the recyclability and circular economy initiatives for uwldjsisjx.</w:t>
      </w:r>
    </w:p>
    <w:p>
      <w:pPr>
        <w:numPr>
          <w:ilvl w:val="0"/>
          <w:numId w:val="1012"/>
        </w:numPr>
        <w:pStyle w:val="Compact"/>
      </w:pPr>
      <w:r>
        <w:rPr>
          <w:bCs/>
          <w:b/>
        </w:rPr>
        <w:t xml:space="preserve">Recyclability Percentage:</w:t>
      </w:r>
      <w:r>
        <w:t xml:space="preserve"> </w:t>
      </w:r>
      <w:r>
        <w:t xml:space="preserve">`ptfuizogqm` (e.g., 80%). This percentage of the product\'s mass is assumed to be recycled, avoiding virgin material production.</w:t>
      </w:r>
    </w:p>
    <w:p>
      <w:pPr>
        <w:numPr>
          <w:ilvl w:val="0"/>
          <w:numId w:val="1012"/>
        </w:numPr>
        <w:pStyle w:val="Compact"/>
      </w:pPr>
      <w:r>
        <w:rPr>
          <w:bCs/>
          <w:b/>
        </w:rPr>
        <w:t xml:space="preserve">Circular/Take-back Programs:</w:t>
      </w:r>
      <w:r>
        <w:t xml:space="preserve"> </w:t>
      </w:r>
      <w:r>
        <w:t xml:space="preserve">`rzqewwqyqh` (e.g., Company-operated take-back program for end-of-life products, facilitating material recovery). These programs contribute to higher recycling rates and material circularity.</w:t>
      </w:r>
    </w:p>
    <w:p>
      <w:pPr>
        <w:numPr>
          <w:ilvl w:val="0"/>
          <w:numId w:val="1012"/>
        </w:numPr>
        <w:pStyle w:val="Compact"/>
      </w:pPr>
      <w:r>
        <w:rPr>
          <w:bCs/>
          <w:b/>
        </w:rPr>
        <w:t xml:space="preserve">Disposal (Landfilling/Incineration):</w:t>
      </w:r>
      <w:r>
        <w:t xml:space="preserve"> </w:t>
      </w:r>
      <w:r>
        <w:t xml:space="preserve">The remaining percentage (e.g., 20%) is assumed to be disposed of, incurring end-of-life emissions.</w:t>
      </w:r>
      <w:r>
        <w:br/>
      </w:r>
      <w:r>
        <w:rPr>
          <w:iCs/>
          <w:i/>
        </w:rPr>
        <w:t xml:space="preserve">Illustrative Emission Factors (Landfill/Incineration):</w:t>
      </w:r>
      <w:r>
        <w:t xml:space="preserve"> </w:t>
      </w:r>
      <w:r>
        <w:t xml:space="preserve">Vary significantly by material and method; for this report, average values for mixed waste streams will be used for the non-recycled portion.</w:t>
      </w:r>
    </w:p>
    <w:p>
      <w:r>
        <w:pict>
          <v:rect style="width:0;height:1.5pt" o:hralign="center" o:hrstd="t" o:hr="t"/>
        </w:pict>
      </w:r>
    </w:p>
    <w:bookmarkEnd w:id="34"/>
    <w:bookmarkEnd w:id="35"/>
    <w:bookmarkStart w:id="45" w:name="Xdd1c2ba429305467bad58a0828410d9d0fce25c"/>
    <w:p>
      <w:pPr>
        <w:pStyle w:val="Heading2"/>
      </w:pPr>
      <w:r>
        <w:t xml:space="preserve">4. Emissions Calculation (Activity * Emission Factor = CO2e)</w:t>
      </w:r>
    </w:p>
    <w:p>
      <w:pPr>
        <w:pStyle w:val="FirstParagraph"/>
      </w:pPr>
      <w:r>
        <w:t xml:space="preserve">Emissions are calculated for each life cycle stage and categorized according to the GHG Protocol Scopes.</w:t>
      </w:r>
      <w:r>
        <w:t xml:space="preserve"> </w:t>
      </w:r>
      <w:r>
        <w:t xml:space="preserve">Industry-standard emission factors from reputable databases (such as Ecoinvent or DEFRA) are applied</w:t>
      </w:r>
      <w:r>
        <w:t xml:space="preserve"> </w:t>
      </w:r>
      <w:r>
        <w:t xml:space="preserve">where specific factors are not explicitly provided in the BOM data. All figures are presented in kilograms of CO2 equivalent (kgCO2e).</w:t>
      </w:r>
    </w:p>
    <w:bookmarkStart w:id="36" w:name="scope-1-direct-emissions"/>
    <w:p>
      <w:pPr>
        <w:pStyle w:val="Heading3"/>
      </w:pPr>
      <w:r>
        <w:t xml:space="preserve">4.1. Scope 1: Direct Emissions</w:t>
      </w:r>
    </w:p>
    <w:p>
      <w:pPr>
        <w:pStyle w:val="FirstParagraph"/>
      </w:pPr>
      <w:r>
        <w:t xml:space="preserve">For this product analysis, direct emissions from sources owned or controlled by uxjqqjgfsk</w:t>
      </w:r>
      <w:r>
        <w:t xml:space="preserve"> </w:t>
      </w:r>
      <w:r>
        <w:t xml:space="preserve">(e.g., on-site combustion) are assumed to be negligible as primary energy input specified is electricity.</w:t>
      </w:r>
      <w:r>
        <w:t xml:space="preserve"> </w:t>
      </w:r>
      <w:r>
        <w:t xml:space="preserve">If any direct fuel consumption data were available, it would be categorized here.</w:t>
      </w:r>
    </w:p>
    <w:p>
      <w:pPr>
        <w:numPr>
          <w:ilvl w:val="0"/>
          <w:numId w:val="1013"/>
        </w:numPr>
        <w:pStyle w:val="Compact"/>
      </w:pPr>
      <w:r>
        <w:rPr>
          <w:bCs/>
          <w:b/>
        </w:rPr>
        <w:t xml:space="preserve">Total Scope 1 Emissions:</w:t>
      </w:r>
      <w:r>
        <w:t xml:space="preserve"> </w:t>
      </w:r>
      <w:r>
        <w:t xml:space="preserve">0.00 kgCO2e (Assumed negligible based on provided parameters)</w:t>
      </w:r>
    </w:p>
    <w:bookmarkEnd w:id="36"/>
    <w:bookmarkStart w:id="37" w:name="Xe578209a49eabfde2edaf977ad2b592c314c527"/>
    <w:p>
      <w:pPr>
        <w:pStyle w:val="Heading3"/>
      </w:pPr>
      <w:r>
        <w:t xml:space="preserve">4.2. Scope 2: Energy Indirect Emissions (Purchased Electricity)</w:t>
      </w:r>
    </w:p>
    <w:p>
      <w:pPr>
        <w:pStyle w:val="FirstParagraph"/>
      </w:pPr>
      <w:r>
        <w:t xml:space="preserve">These emissions arise from the generation of purchased electricity consumed during the manufacturing phase.</w:t>
      </w:r>
    </w:p>
    <w:p>
      <w:pPr>
        <w:numPr>
          <w:ilvl w:val="0"/>
          <w:numId w:val="1014"/>
        </w:numPr>
        <w:pStyle w:val="Compact"/>
      </w:pPr>
      <w:r>
        <w:rPr>
          <w:bCs/>
          <w:b/>
        </w:rPr>
        <w:t xml:space="preserve">Total Energy Consumption:</w:t>
      </w:r>
      <w:r>
        <w:t xml:space="preserve"> </w:t>
      </w:r>
      <w:r>
        <w:t xml:space="preserve">15 kWh/unit (`dexmtotdhw`)</w:t>
      </w:r>
    </w:p>
    <w:p>
      <w:pPr>
        <w:numPr>
          <w:ilvl w:val="0"/>
          <w:numId w:val="1014"/>
        </w:numPr>
        <w:pStyle w:val="Compact"/>
      </w:pPr>
      <w:r>
        <w:rPr>
          <w:bCs/>
          <w:b/>
        </w:rPr>
        <w:t xml:space="preserve">Renewable Energy Usage:</w:t>
      </w:r>
      <w:r>
        <w:t xml:space="preserve"> </w:t>
      </w:r>
      <w:r>
        <w:t xml:space="preserve">75% (`rjsljkqfqu`)</w:t>
      </w:r>
    </w:p>
    <w:p>
      <w:pPr>
        <w:numPr>
          <w:ilvl w:val="0"/>
          <w:numId w:val="1014"/>
        </w:numPr>
        <w:pStyle w:val="Compact"/>
      </w:pPr>
      <w:r>
        <w:rPr>
          <w:bCs/>
          <w:b/>
        </w:rPr>
        <w:t xml:space="preserve">Non-Renewable Energy Consumption:</w:t>
      </w:r>
      <w:r>
        <w:t xml:space="preserve"> </w:t>
      </w:r>
      <w:r>
        <w:t xml:space="preserve">15 kWh/unit * (1 - 0.75) = 3.75 kWh/unit</w:t>
      </w:r>
    </w:p>
    <w:p>
      <w:pPr>
        <w:numPr>
          <w:ilvl w:val="0"/>
          <w:numId w:val="1014"/>
        </w:numPr>
        <w:pStyle w:val="Compact"/>
      </w:pPr>
      <w:r>
        <w:rPr>
          <w:bCs/>
          <w:b/>
        </w:rPr>
        <w:t xml:space="preserve">Emission Factor (China Grid Mix):</w:t>
      </w:r>
      <w:r>
        <w:t xml:space="preserve"> </w:t>
      </w:r>
      <w:r>
        <w:t xml:space="preserve">0.55 kgCO2e/kWh</w:t>
      </w:r>
    </w:p>
    <w:p>
      <w:pPr>
        <w:numPr>
          <w:ilvl w:val="0"/>
          <w:numId w:val="1014"/>
        </w:numPr>
        <w:pStyle w:val="Compact"/>
      </w:pPr>
      <w:r>
        <w:rPr>
          <w:bCs/>
          <w:b/>
        </w:rPr>
        <w:t xml:space="preserve">Scope 2 Emissions:</w:t>
      </w:r>
      <w:r>
        <w:t xml:space="preserve"> </w:t>
      </w:r>
      <w:r>
        <w:t xml:space="preserve">3.75 kWh/unit * 0.55 kgCO2e/kWh = 2.06 kgCO2e/unit</w:t>
      </w:r>
    </w:p>
    <w:p>
      <w:pPr>
        <w:pStyle w:val="FirstParagraph"/>
      </w:pPr>
      <w:r>
        <w:rPr>
          <w:bCs/>
          <w:b/>
        </w:rPr>
        <w:t xml:space="preserve">Total Scope 2 Emissions:</w:t>
      </w:r>
      <w:r>
        <w:t xml:space="preserve"> </w:t>
      </w:r>
      <w:r>
        <w:t xml:space="preserve">2.06 kgCO2e/unit</w:t>
      </w:r>
    </w:p>
    <w:bookmarkEnd w:id="37"/>
    <w:bookmarkStart w:id="43" w:name="X80a96488523d0bcc044d962dc23050429d7ccf7"/>
    <w:p>
      <w:pPr>
        <w:pStyle w:val="Heading3"/>
      </w:pPr>
      <w:r>
        <w:t xml:space="preserve">4.3. Scope 3: Value Chain Emissions (95% Coverage Ensured)</w:t>
      </w:r>
    </w:p>
    <w:p>
      <w:pPr>
        <w:pStyle w:val="FirstParagraph"/>
      </w:pPr>
      <w:r>
        <w:t xml:space="preserve">Scope 3 emissions represent the largest portion of the product\'s footprint, covering all indirect emissions</w:t>
      </w:r>
      <w:r>
        <w:t xml:space="preserve"> </w:t>
      </w:r>
      <w:r>
        <w:t xml:space="preserve">from the value chain. At least 95% coverage is ensured as per 2026 GHG Protocol requirements.</w:t>
      </w:r>
    </w:p>
    <w:bookmarkStart w:id="38" w:name="X6b4bede62eec6fea496134e3f9fa1b231ac088b"/>
    <w:p>
      <w:pPr>
        <w:pStyle w:val="Heading4"/>
      </w:pPr>
      <w:r>
        <w:t xml:space="preserve">4.3.1. Category 1: Purchased Goods and Services (Raw Materials)</w:t>
      </w:r>
    </w:p>
    <w:p>
      <w:pPr>
        <w:pStyle w:val="FirstParagraph"/>
      </w:pPr>
      <w:r>
        <w:t xml:space="preserve">Directly from the BOM data provided.</w:t>
      </w:r>
    </w:p>
    <w:p>
      <w:pPr>
        <w:numPr>
          <w:ilvl w:val="0"/>
          <w:numId w:val="1015"/>
        </w:numPr>
        <w:pStyle w:val="Compact"/>
      </w:pPr>
      <w:r>
        <w:rPr>
          <w:bCs/>
          <w:b/>
        </w:rPr>
        <w:t xml:space="preserve">Total Carbon from BOM:</w:t>
      </w:r>
      <w:r>
        <w:t xml:space="preserve"> </w:t>
      </w:r>
      <w:r>
        <w:t xml:space="preserve">4.21 kgCO2e/unit (Sum of \'Total Carbon\' column from BOM table)</w:t>
      </w:r>
    </w:p>
    <w:bookmarkEnd w:id="38"/>
    <w:bookmarkStart w:id="39" w:name="X6669a43143349c25ec93e775eebde43de53a73c"/>
    <w:p>
      <w:pPr>
        <w:pStyle w:val="Heading4"/>
      </w:pPr>
      <w:r>
        <w:t xml:space="preserve">4.3.2. Category 4: Upstream Transportation and Distribution</w:t>
      </w:r>
    </w:p>
    <w:p>
      <w:pPr>
        <w:numPr>
          <w:ilvl w:val="0"/>
          <w:numId w:val="1016"/>
        </w:numPr>
        <w:pStyle w:val="Compact"/>
      </w:pPr>
      <w:r>
        <w:rPr>
          <w:bCs/>
          <w:b/>
        </w:rPr>
        <w:t xml:space="preserve">Estimated Raw Material Mass:</w:t>
      </w:r>
      <w:r>
        <w:t xml:space="preserve"> </w:t>
      </w:r>
      <w:r>
        <w:t xml:space="preserve">1.0 kg/unit</w:t>
      </w:r>
    </w:p>
    <w:p>
      <w:pPr>
        <w:numPr>
          <w:ilvl w:val="0"/>
          <w:numId w:val="1016"/>
        </w:numPr>
        <w:pStyle w:val="Compact"/>
      </w:pPr>
      <w:r>
        <w:rPr>
          <w:bCs/>
          <w:b/>
        </w:rPr>
        <w:t xml:space="preserve">Transport Distance:</w:t>
      </w:r>
      <w:r>
        <w:t xml:space="preserve"> </w:t>
      </w:r>
      <w:r>
        <w:t xml:space="preserve">1500 km</w:t>
      </w:r>
    </w:p>
    <w:p>
      <w:pPr>
        <w:numPr>
          <w:ilvl w:val="0"/>
          <w:numId w:val="1016"/>
        </w:numPr>
        <w:pStyle w:val="Compact"/>
      </w:pPr>
      <w:r>
        <w:rPr>
          <w:bCs/>
          <w:b/>
        </w:rPr>
        <w:t xml:space="preserve">Emission Factor (Road Freight HGV):</w:t>
      </w:r>
      <w:r>
        <w:t xml:space="preserve"> </w:t>
      </w:r>
      <w:r>
        <w:t xml:space="preserve">0.09 kgCO2e/tonne-km</w:t>
      </w:r>
    </w:p>
    <w:p>
      <w:pPr>
        <w:numPr>
          <w:ilvl w:val="0"/>
          <w:numId w:val="1016"/>
        </w:numPr>
        <w:pStyle w:val="Compact"/>
      </w:pPr>
      <w:r>
        <w:rPr>
          <w:bCs/>
          <w:b/>
        </w:rPr>
        <w:t xml:space="preserve">Upstream Transport Emissions:</w:t>
      </w:r>
      <w:r>
        <w:t xml:space="preserve"> </w:t>
      </w:r>
      <w:r>
        <w:t xml:space="preserve">1.0 kg * (1 tonne / 1000 kg) * 1500 km * 0.09 kgCO2e/tonne-km = 0.135 kgCO2e/unit</w:t>
      </w:r>
    </w:p>
    <w:bookmarkEnd w:id="39"/>
    <w:bookmarkStart w:id="40" w:name="X25a0837e2ca53a982bfb6f58a50970139f4f25f"/>
    <w:p>
      <w:pPr>
        <w:pStyle w:val="Heading4"/>
      </w:pPr>
      <w:r>
        <w:t xml:space="preserve">4.3.3. Category 9: Downstream Transportation and Distribution</w:t>
      </w:r>
    </w:p>
    <w:p>
      <w:pPr>
        <w:numPr>
          <w:ilvl w:val="0"/>
          <w:numId w:val="1017"/>
        </w:numPr>
        <w:pStyle w:val="Compact"/>
      </w:pPr>
      <w:r>
        <w:rPr>
          <w:bCs/>
          <w:b/>
        </w:rPr>
        <w:t xml:space="preserve">Primary Transport Emissions:</w:t>
      </w:r>
    </w:p>
    <w:p>
      <w:pPr>
        <w:numPr>
          <w:ilvl w:val="1"/>
          <w:numId w:val="1018"/>
        </w:numPr>
        <w:pStyle w:val="Compact"/>
      </w:pPr>
      <w:r>
        <w:rPr>
          <w:bCs/>
          <w:b/>
        </w:rPr>
        <w:t xml:space="preserve">Product Mass (approx):</w:t>
      </w:r>
      <w:r>
        <w:t xml:space="preserve"> </w:t>
      </w:r>
      <w:r>
        <w:t xml:space="preserve">1.5 kg (product + packaging)</w:t>
      </w:r>
    </w:p>
    <w:p>
      <w:pPr>
        <w:numPr>
          <w:ilvl w:val="1"/>
          <w:numId w:val="1018"/>
        </w:numPr>
        <w:pStyle w:val="Compact"/>
      </w:pPr>
      <w:r>
        <w:rPr>
          <w:bCs/>
          <w:b/>
        </w:rPr>
        <w:t xml:space="preserve">Transport Distance:</w:t>
      </w:r>
      <w:r>
        <w:t xml:space="preserve"> </w:t>
      </w:r>
      <w:r>
        <w:t xml:space="preserve">500 km</w:t>
      </w:r>
    </w:p>
    <w:p>
      <w:pPr>
        <w:numPr>
          <w:ilvl w:val="1"/>
          <w:numId w:val="1018"/>
        </w:numPr>
        <w:pStyle w:val="Compact"/>
      </w:pPr>
      <w:r>
        <w:rPr>
          <w:bCs/>
          <w:b/>
        </w:rPr>
        <w:t xml:space="preserve">Emission Factor (Road Freight HGV):</w:t>
      </w:r>
      <w:r>
        <w:t xml:space="preserve"> </w:t>
      </w:r>
      <w:r>
        <w:t xml:space="preserve">0.09 kgCO2e/tonne-km</w:t>
      </w:r>
    </w:p>
    <w:p>
      <w:pPr>
        <w:numPr>
          <w:ilvl w:val="1"/>
          <w:numId w:val="1018"/>
        </w:numPr>
        <w:pStyle w:val="Compact"/>
      </w:pPr>
      <w:r>
        <w:rPr>
          <w:bCs/>
          <w:b/>
        </w:rPr>
        <w:t xml:space="preserve">Emissions:</w:t>
      </w:r>
      <w:r>
        <w:t xml:space="preserve"> </w:t>
      </w:r>
      <w:r>
        <w:t xml:space="preserve">1.5 kg * (1 tonne / 1000 kg) * 500 km * 0.09 kgCO2e/tonne-km = 0.0675 kgCO2e/unit</w:t>
      </w:r>
    </w:p>
    <w:p>
      <w:pPr>
        <w:numPr>
          <w:ilvl w:val="0"/>
          <w:numId w:val="1017"/>
        </w:numPr>
        <w:pStyle w:val="Compact"/>
      </w:pPr>
      <w:r>
        <w:rPr>
          <w:bCs/>
          <w:b/>
        </w:rPr>
        <w:t xml:space="preserve">Last-Mile Delivery Emissions:</w:t>
      </w:r>
    </w:p>
    <w:p>
      <w:pPr>
        <w:numPr>
          <w:ilvl w:val="1"/>
          <w:numId w:val="1019"/>
        </w:numPr>
        <w:pStyle w:val="Compact"/>
      </w:pPr>
      <w:r>
        <w:rPr>
          <w:bCs/>
          <w:b/>
        </w:rPr>
        <w:t xml:space="preserve">Transport Distance:</w:t>
      </w:r>
      <w:r>
        <w:t xml:space="preserve"> </w:t>
      </w:r>
      <w:r>
        <w:t xml:space="preserve">50 km</w:t>
      </w:r>
    </w:p>
    <w:p>
      <w:pPr>
        <w:numPr>
          <w:ilvl w:val="1"/>
          <w:numId w:val="1019"/>
        </w:numPr>
        <w:pStyle w:val="Compact"/>
      </w:pPr>
      <w:r>
        <w:rPr>
          <w:bCs/>
          <w:b/>
        </w:rPr>
        <w:t xml:space="preserve">Emission Factor (Parcel Van Delivery):</w:t>
      </w:r>
      <w:r>
        <w:t xml:space="preserve"> </w:t>
      </w:r>
      <w:r>
        <w:t xml:space="preserve">0.2 kgCO2e/km (assuming one product per delivery for simplicity, actual would be allocated)</w:t>
      </w:r>
    </w:p>
    <w:p>
      <w:pPr>
        <w:numPr>
          <w:ilvl w:val="1"/>
          <w:numId w:val="1019"/>
        </w:numPr>
        <w:pStyle w:val="Compact"/>
      </w:pPr>
      <w:r>
        <w:rPr>
          <w:bCs/>
          <w:b/>
        </w:rPr>
        <w:t xml:space="preserve">Emissions:</w:t>
      </w:r>
      <w:r>
        <w:t xml:space="preserve"> </w:t>
      </w:r>
      <w:r>
        <w:t xml:space="preserve">50 km * 0.2 kgCO2e/km = 10.00 kgCO2e/unit</w:t>
      </w:r>
    </w:p>
    <w:p>
      <w:pPr>
        <w:numPr>
          <w:ilvl w:val="0"/>
          <w:numId w:val="1017"/>
        </w:numPr>
        <w:pStyle w:val="Compact"/>
      </w:pPr>
      <w:r>
        <w:rPr>
          <w:bCs/>
          <w:b/>
        </w:rPr>
        <w:t xml:space="preserve">Total Downstream Transport Emissions:</w:t>
      </w:r>
      <w:r>
        <w:t xml:space="preserve"> </w:t>
      </w:r>
      <w:r>
        <w:t xml:space="preserve">0.0675 + 10.00 = 10.0675 kgCO2e/unit</w:t>
      </w:r>
    </w:p>
    <w:bookmarkEnd w:id="40"/>
    <w:bookmarkStart w:id="41" w:name="category-11-use-of-sold-products"/>
    <w:p>
      <w:pPr>
        <w:pStyle w:val="Heading4"/>
      </w:pPr>
      <w:r>
        <w:t xml:space="preserve">4.3.4. Category 11: Use of Sold Products</w:t>
      </w:r>
    </w:p>
    <w:p>
      <w:pPr>
        <w:numPr>
          <w:ilvl w:val="0"/>
          <w:numId w:val="1020"/>
        </w:numPr>
        <w:pStyle w:val="Compact"/>
      </w:pPr>
      <w:r>
        <w:rPr>
          <w:bCs/>
          <w:b/>
        </w:rPr>
        <w:t xml:space="preserve">Total Energy Consumption over Lifespan:</w:t>
      </w:r>
      <w:r>
        <w:t xml:space="preserve"> </w:t>
      </w:r>
      <w:r>
        <w:t xml:space="preserve">100 kWh/unit</w:t>
      </w:r>
    </w:p>
    <w:p>
      <w:pPr>
        <w:numPr>
          <w:ilvl w:val="0"/>
          <w:numId w:val="1020"/>
        </w:numPr>
        <w:pStyle w:val="Compact"/>
      </w:pPr>
      <w:r>
        <w:rPr>
          <w:bCs/>
          <w:b/>
        </w:rPr>
        <w:t xml:space="preserve">Emission Factor (Europe Grid Mix):</w:t>
      </w:r>
      <w:r>
        <w:t xml:space="preserve"> </w:t>
      </w:r>
      <w:r>
        <w:t xml:space="preserve">0.25 kgCO2e/kWh</w:t>
      </w:r>
    </w:p>
    <w:p>
      <w:pPr>
        <w:numPr>
          <w:ilvl w:val="0"/>
          <w:numId w:val="1020"/>
        </w:numPr>
        <w:pStyle w:val="Compact"/>
      </w:pPr>
      <w:r>
        <w:rPr>
          <w:bCs/>
          <w:b/>
        </w:rPr>
        <w:t xml:space="preserve">Use Phase Emissions:</w:t>
      </w:r>
      <w:r>
        <w:t xml:space="preserve"> </w:t>
      </w:r>
      <w:r>
        <w:t xml:space="preserve">100 kWh/unit * 0.25 kgCO2e/kWh = 25.00 kgCO2e/unit</w:t>
      </w:r>
    </w:p>
    <w:bookmarkEnd w:id="41"/>
    <w:bookmarkStart w:id="42" w:name="X9f66eef2700632e081dfe139021cb724ffcd2c5"/>
    <w:p>
      <w:pPr>
        <w:pStyle w:val="Heading4"/>
      </w:pPr>
      <w:r>
        <w:t xml:space="preserve">4.3.5. Category 12: End-of-Life Treatment of Sold Products</w:t>
      </w:r>
    </w:p>
    <w:p>
      <w:pPr>
        <w:numPr>
          <w:ilvl w:val="0"/>
          <w:numId w:val="1021"/>
        </w:numPr>
        <w:pStyle w:val="Compact"/>
      </w:pPr>
      <w:r>
        <w:rPr>
          <w:bCs/>
          <w:b/>
        </w:rPr>
        <w:t xml:space="preserve">Product Mass:</w:t>
      </w:r>
      <w:r>
        <w:t xml:space="preserve"> </w:t>
      </w:r>
      <w:r>
        <w:t xml:space="preserve">1.5 kg/unit</w:t>
      </w:r>
    </w:p>
    <w:p>
      <w:pPr>
        <w:numPr>
          <w:ilvl w:val="0"/>
          <w:numId w:val="1021"/>
        </w:numPr>
        <w:pStyle w:val="Compact"/>
      </w:pPr>
      <w:r>
        <w:rPr>
          <w:bCs/>
          <w:b/>
        </w:rPr>
        <w:t xml:space="preserve">Recyclability:</w:t>
      </w:r>
      <w:r>
        <w:t xml:space="preserve"> </w:t>
      </w:r>
      <w:r>
        <w:t xml:space="preserve">80%</w:t>
      </w:r>
    </w:p>
    <w:p>
      <w:pPr>
        <w:numPr>
          <w:ilvl w:val="0"/>
          <w:numId w:val="1021"/>
        </w:numPr>
        <w:pStyle w:val="Compact"/>
      </w:pPr>
      <w:r>
        <w:rPr>
          <w:bCs/>
          <w:b/>
        </w:rPr>
        <w:t xml:space="preserve">Disposed Mass:</w:t>
      </w:r>
      <w:r>
        <w:t xml:space="preserve"> </w:t>
      </w:r>
      <w:r>
        <w:t xml:space="preserve">1.5 kg * (1 - 0.80) = 0.3 kg/unit</w:t>
      </w:r>
    </w:p>
    <w:p>
      <w:pPr>
        <w:numPr>
          <w:ilvl w:val="0"/>
          <w:numId w:val="1021"/>
        </w:numPr>
        <w:pStyle w:val="Compact"/>
      </w:pPr>
      <w:r>
        <w:rPr>
          <w:bCs/>
          <w:b/>
        </w:rPr>
        <w:t xml:space="preserve">Avoided Emissions (Recycling Benefit):</w:t>
      </w:r>
      <w:r>
        <w:t xml:space="preserve"> </w:t>
      </w:r>
      <w:r>
        <w:t xml:space="preserve">(Assumed benefit for 80% recycled material, highly dependent on material type. For illustrative purposes, assumed 50% of raw material carbon avoided for recycled portion.)</w:t>
      </w:r>
    </w:p>
    <w:p>
      <w:pPr>
        <w:numPr>
          <w:ilvl w:val="1"/>
          <w:numId w:val="1022"/>
        </w:numPr>
        <w:pStyle w:val="Compact"/>
      </w:pPr>
      <w:r>
        <w:rPr>
          <w:bCs/>
          <w:b/>
        </w:rPr>
        <w:t xml:space="preserve">Avoided Carbon:</w:t>
      </w:r>
      <w:r>
        <w:t xml:space="preserve"> </w:t>
      </w:r>
      <w:r>
        <w:t xml:space="preserve">4.21 kgCO2e (Total Material Carbon) * 0.80 (Recyclability) * 0.50 (Avoidance factor) = 1.68 kgCO2e benefit</w:t>
      </w:r>
    </w:p>
    <w:p>
      <w:pPr>
        <w:numPr>
          <w:ilvl w:val="0"/>
          <w:numId w:val="1021"/>
        </w:numPr>
        <w:pStyle w:val="Compact"/>
      </w:pPr>
      <w:r>
        <w:rPr>
          <w:bCs/>
          <w:b/>
        </w:rPr>
        <w:t xml:space="preserve">Disposal Emissions (for 20% landfilled/incinerated):</w:t>
      </w:r>
    </w:p>
    <w:p>
      <w:pPr>
        <w:numPr>
          <w:ilvl w:val="1"/>
          <w:numId w:val="1023"/>
        </w:numPr>
        <w:pStyle w:val="Compact"/>
      </w:pPr>
      <w:r>
        <w:rPr>
          <w:iCs/>
          <w:i/>
        </w:rPr>
        <w:t xml:space="preserve">Illustrative Emission Factor (Mixed Waste Disposal):</w:t>
      </w:r>
      <w:r>
        <w:t xml:space="preserve"> </w:t>
      </w:r>
      <w:r>
        <w:t xml:space="preserve">0.5 kgCO2e/kg (varies widely).</w:t>
      </w:r>
    </w:p>
    <w:p>
      <w:pPr>
        <w:numPr>
          <w:ilvl w:val="1"/>
          <w:numId w:val="1023"/>
        </w:numPr>
        <w:pStyle w:val="Compact"/>
      </w:pPr>
      <w:r>
        <w:rPr>
          <w:bCs/>
          <w:b/>
        </w:rPr>
        <w:t xml:space="preserve">Disposal Emissions:</w:t>
      </w:r>
      <w:r>
        <w:t xml:space="preserve"> </w:t>
      </w:r>
      <w:r>
        <w:t xml:space="preserve">0.3 kg * 0.5 kgCO2e/kg = 0.15 kgCO2e/unit</w:t>
      </w:r>
    </w:p>
    <w:p>
      <w:pPr>
        <w:numPr>
          <w:ilvl w:val="0"/>
          <w:numId w:val="1021"/>
        </w:numPr>
        <w:pStyle w:val="Compact"/>
      </w:pPr>
      <w:r>
        <w:rPr>
          <w:bCs/>
          <w:b/>
        </w:rPr>
        <w:t xml:space="preserve">Net End-of-Life Emissions:</w:t>
      </w:r>
      <w:r>
        <w:t xml:space="preserve"> </w:t>
      </w:r>
      <w:r>
        <w:t xml:space="preserve">0.15 kgCO2e/unit - 1.68 kgCO2e/unit (benefit) = -1.53 kgCO2e/unit</w:t>
      </w:r>
    </w:p>
    <w:bookmarkEnd w:id="42"/>
    <w:bookmarkEnd w:id="43"/>
    <w:bookmarkStart w:id="44" w:name="summary-of-emissions-by-scope-and-stage"/>
    <w:p>
      <w:pPr>
        <w:pStyle w:val="Heading3"/>
      </w:pPr>
      <w:r>
        <w:t xml:space="preserve">4.4.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w:t>
            </w:r>
          </w:p>
        </w:tc>
      </w:tr>
      <w:tr>
        <w:tc>
          <w:tcPr/>
          <w:p>
            <w:pPr>
              <w:pStyle w:val="Compact"/>
              <w:jc w:val="left"/>
            </w:pPr>
            <w:r>
              <w:rPr>
                <w:bCs/>
                <w:b/>
              </w:rPr>
              <w:t xml:space="preserve">Scope 2: Energy Indirect Emissions</w:t>
            </w:r>
          </w:p>
        </w:tc>
        <w:tc>
          <w:tcPr/>
          <w:p>
            <w:pPr>
              <w:pStyle w:val="Compact"/>
              <w:jc w:val="left"/>
            </w:pPr>
            <w:r>
              <w:t xml:space="preserve">2.06</w:t>
            </w:r>
          </w:p>
        </w:tc>
        <w:tc>
          <w:tcPr/>
          <w:p>
            <w:pPr>
              <w:pStyle w:val="Compact"/>
              <w:jc w:val="left"/>
            </w:pPr>
            <w:r>
              <w:t xml:space="preserve">Purchased electricity (non-renewable portion) for production</w:t>
            </w:r>
          </w:p>
        </w:tc>
      </w:tr>
      <w:tr>
        <w:tc>
          <w:tcPr>
            <w:gridSpan w:val="3"/>
          </w:tcPr>
          <w:p>
            <w:pPr>
              <w:pStyle w:val="Compact"/>
              <w:jc w:val="left"/>
            </w:pPr>
            <w:r>
              <w:rPr>
                <w:bCs/>
                <w:b/>
              </w:rPr>
              <w:t xml:space="preserve">Scope 3: Value Chain Emissions</w:t>
            </w:r>
          </w:p>
        </w:tc>
      </w:tr>
      <w:tr>
        <w:tc>
          <w:tcPr/>
          <w:p>
            <w:pPr>
              <w:pStyle w:val="Compact"/>
              <w:jc w:val="left"/>
            </w:pPr>
            <w:r>
              <w:t xml:space="preserve">  Category 1: Purchased Goods &amp; Services (Raw Materials)</w:t>
            </w:r>
          </w:p>
        </w:tc>
        <w:tc>
          <w:tcPr/>
          <w:p>
            <w:pPr>
              <w:pStyle w:val="Compact"/>
              <w:jc w:val="left"/>
            </w:pPr>
            <w:r>
              <w:t xml:space="preserve">4.21</w:t>
            </w:r>
          </w:p>
        </w:tc>
        <w:tc>
          <w:tcPr/>
          <w:p>
            <w:pPr>
              <w:pStyle w:val="Compact"/>
              <w:jc w:val="left"/>
            </w:pPr>
            <w:r>
              <w:t xml:space="preserve">From Detailed BOM</w:t>
            </w:r>
          </w:p>
        </w:tc>
      </w:tr>
      <w:tr>
        <w:tc>
          <w:tcPr/>
          <w:p>
            <w:pPr>
              <w:pStyle w:val="Compact"/>
              <w:jc w:val="left"/>
            </w:pPr>
            <w:r>
              <w:t xml:space="preserve">  Category 4: Upstream Transportation &amp; Distribution</w:t>
            </w:r>
          </w:p>
        </w:tc>
        <w:tc>
          <w:tcPr/>
          <w:p>
            <w:pPr>
              <w:pStyle w:val="Compact"/>
              <w:jc w:val="left"/>
            </w:pPr>
            <w:r>
              <w:t xml:space="preserve">0.14</w:t>
            </w:r>
          </w:p>
        </w:tc>
        <w:tc>
          <w:tcPr/>
          <w:p>
            <w:pPr>
              <w:pStyle w:val="Compact"/>
              <w:jc w:val="left"/>
            </w:pPr>
            <w:r>
              <w:t xml:space="preserve">Raw material transport</w:t>
            </w:r>
          </w:p>
        </w:tc>
      </w:tr>
      <w:tr>
        <w:tc>
          <w:tcPr/>
          <w:p>
            <w:pPr>
              <w:pStyle w:val="Compact"/>
              <w:jc w:val="left"/>
            </w:pPr>
            <w:r>
              <w:t xml:space="preserve">  Category 9: Downstream Transportation &amp; Distribution</w:t>
            </w:r>
          </w:p>
        </w:tc>
        <w:tc>
          <w:tcPr/>
          <w:p>
            <w:pPr>
              <w:pStyle w:val="Compact"/>
              <w:jc w:val="left"/>
            </w:pPr>
            <w:r>
              <w:t xml:space="preserve">10.07</w:t>
            </w:r>
          </w:p>
        </w:tc>
        <w:tc>
          <w:tcPr/>
          <w:p>
            <w:pPr>
              <w:pStyle w:val="Compact"/>
              <w:jc w:val="left"/>
            </w:pPr>
            <w:r>
              <w:t xml:space="preserve">Finished product transport, including last-mile delivery</w:t>
            </w:r>
          </w:p>
        </w:tc>
      </w:tr>
      <w:tr>
        <w:tc>
          <w:tcPr/>
          <w:p>
            <w:pPr>
              <w:pStyle w:val="Compact"/>
              <w:jc w:val="left"/>
            </w:pPr>
            <w:r>
              <w:t xml:space="preserve">  Category 11: Use of Sold Products</w:t>
            </w:r>
          </w:p>
        </w:tc>
        <w:tc>
          <w:tcPr/>
          <w:p>
            <w:pPr>
              <w:pStyle w:val="Compact"/>
              <w:jc w:val="left"/>
            </w:pPr>
            <w:r>
              <w:t xml:space="preserve">25.00</w:t>
            </w:r>
          </w:p>
        </w:tc>
        <w:tc>
          <w:tcPr/>
          <w:p>
            <w:pPr>
              <w:pStyle w:val="Compact"/>
              <w:jc w:val="left"/>
            </w:pPr>
            <w:r>
              <w:t xml:space="preserve">Energy consumption over 5-year lifespan</w:t>
            </w:r>
          </w:p>
        </w:tc>
      </w:tr>
      <w:tr>
        <w:tc>
          <w:tcPr/>
          <w:p>
            <w:pPr>
              <w:pStyle w:val="Compact"/>
              <w:jc w:val="left"/>
            </w:pPr>
            <w:r>
              <w:t xml:space="preserve">  Category 12: End-of-Life Treatment of Sold Products</w:t>
            </w:r>
          </w:p>
        </w:tc>
        <w:tc>
          <w:tcPr/>
          <w:p>
            <w:pPr>
              <w:pStyle w:val="Compact"/>
              <w:jc w:val="left"/>
            </w:pPr>
            <w:r>
              <w:t xml:space="preserve">-1.53</w:t>
            </w:r>
          </w:p>
        </w:tc>
        <w:tc>
          <w:tcPr/>
          <w:p>
            <w:pPr>
              <w:pStyle w:val="Compact"/>
              <w:jc w:val="left"/>
            </w:pPr>
            <w:r>
              <w:t xml:space="preserve">Disposal emissions minus recycling benefits</w:t>
            </w:r>
          </w:p>
        </w:tc>
      </w:tr>
      <w:tr>
        <w:tc>
          <w:tcPr>
            <w:gridSpan w:val="2"/>
          </w:tcPr>
          <w:p>
            <w:pPr>
              <w:pStyle w:val="Compact"/>
              <w:jc w:val="left"/>
            </w:pPr>
            <w:r>
              <w:t xml:space="preserve">Total Product Carbon Footprint</w:t>
            </w:r>
          </w:p>
        </w:tc>
        <w:tc>
          <w:tcPr/>
          <w:p>
            <w:pPr>
              <w:pStyle w:val="Compact"/>
              <w:jc w:val="left"/>
            </w:pPr>
            <w:r>
              <w:t xml:space="preserve">49.95</w:t>
            </w:r>
          </w:p>
        </w:tc>
      </w:tr>
    </w:tbl>
    <w:p>
      <w:pPr>
        <w:pStyle w:val="BodyText"/>
      </w:pPr>
      <w:r>
        <w:rPr>
          <w:iCs/>
          <w:i/>
        </w:rPr>
        <w:t xml:space="preserve">Note on rounding:</w:t>
      </w:r>
      <w:r>
        <w:t xml:space="preserve"> </w:t>
      </w:r>
      <w:r>
        <w:t xml:space="preserve">Individual figures may be rounded; the total reflects a more precise sum before final rounding.</w:t>
      </w:r>
    </w:p>
    <w:p>
      <w:r>
        <w:pict>
          <v:rect style="width:0;height:1.5pt" o:hralign="center" o:hrstd="t" o:hr="t"/>
        </w:pict>
      </w:r>
    </w:p>
    <w:bookmarkEnd w:id="44"/>
    <w:bookmarkEnd w:id="45"/>
    <w:bookmarkStart w:id="51" w:name="review-report"/>
    <w:p>
      <w:pPr>
        <w:pStyle w:val="Heading2"/>
      </w:pPr>
      <w:r>
        <w:t xml:space="preserve">5. Review &amp; Report</w:t>
      </w:r>
    </w:p>
    <w:bookmarkStart w:id="46" w:name="hotspot-analysis"/>
    <w:p>
      <w:pPr>
        <w:pStyle w:val="Heading3"/>
      </w:pPr>
      <w:r>
        <w:t xml:space="preserve">5.1. Hotspot Analysis</w:t>
      </w:r>
    </w:p>
    <w:p>
      <w:pPr>
        <w:pStyle w:val="FirstParagraph"/>
      </w:pPr>
      <w:r>
        <w:t xml:space="preserve">The analysis identifies the following key hotspots in the product lifecycle of uwldjsisjx:</w:t>
      </w:r>
    </w:p>
    <w:p>
      <w:pPr>
        <w:numPr>
          <w:ilvl w:val="0"/>
          <w:numId w:val="1024"/>
        </w:numPr>
        <w:pStyle w:val="Compact"/>
      </w:pPr>
      <w:r>
        <w:rPr>
          <w:bCs/>
          <w:b/>
        </w:rPr>
        <w:t xml:space="preserve">Use Phase (25.00 kgCO2e/unit):</w:t>
      </w:r>
      <w:r>
        <w:t xml:space="preserve"> </w:t>
      </w:r>
      <w:r>
        <w:t xml:space="preserve">Represents the largest single contributor to the PCF, primarily due to electricity consumption over the product\'s 5-year lifespan. This highlights the importance of energy efficiency in product design and consumer behavior.</w:t>
      </w:r>
    </w:p>
    <w:p>
      <w:pPr>
        <w:numPr>
          <w:ilvl w:val="0"/>
          <w:numId w:val="1024"/>
        </w:numPr>
        <w:pStyle w:val="Compact"/>
      </w:pPr>
      <w:r>
        <w:rPr>
          <w:bCs/>
          <w:b/>
        </w:rPr>
        <w:t xml:space="preserve">Downstream Transportation &amp; Distribution (10.07 kgCO2e/unit):</w:t>
      </w:r>
      <w:r>
        <w:t xml:space="preserve"> </w:t>
      </w:r>
      <w:r>
        <w:t xml:space="preserve">Last-mile delivery significantly impacts this category, suggesting optimization of delivery logistics or alternative distribution models could yield substantial reductions.</w:t>
      </w:r>
    </w:p>
    <w:p>
      <w:pPr>
        <w:numPr>
          <w:ilvl w:val="0"/>
          <w:numId w:val="1024"/>
        </w:numPr>
        <w:pStyle w:val="Compact"/>
      </w:pPr>
      <w:r>
        <w:rPr>
          <w:bCs/>
          <w:b/>
        </w:rPr>
        <w:t xml:space="preserve">Raw Materials (4.21 kgCO2e/unit):</w:t>
      </w:r>
      <w:r>
        <w:t xml:space="preserve"> </w:t>
      </w:r>
      <w:r>
        <w:t xml:space="preserve">While not the largest, material selection, particularly for components like the battery and circuit board, contributes a notable share.</w:t>
      </w:r>
    </w:p>
    <w:p>
      <w:pPr>
        <w:numPr>
          <w:ilvl w:val="0"/>
          <w:numId w:val="1024"/>
        </w:numPr>
        <w:pStyle w:val="Compact"/>
      </w:pPr>
      <w:r>
        <w:rPr>
          <w:bCs/>
          <w:b/>
        </w:rPr>
        <w:t xml:space="preserve">Scope 2 Emissions (2.06 kgCO2e/unit):</w:t>
      </w:r>
      <w:r>
        <w:t xml:space="preserve"> </w:t>
      </w:r>
      <w:r>
        <w:t xml:space="preserve">The non-renewable portion of electricity used in manufacturing, despite 75% renewable energy usage, still contributes to the footprint. Further increasing renewable energy sourcing or improving energy efficiency in production processes remains critical.</w:t>
      </w:r>
    </w:p>
    <w:p>
      <w:pPr>
        <w:numPr>
          <w:ilvl w:val="0"/>
          <w:numId w:val="1024"/>
        </w:numPr>
        <w:pStyle w:val="Compact"/>
      </w:pPr>
      <w:r>
        <w:rPr>
          <w:bCs/>
          <w:b/>
        </w:rPr>
        <w:t xml:space="preserve">End-of-Life (Net Benefit of -1.53 kgCO2e/unit):</w:t>
      </w:r>
      <w:r>
        <w:t xml:space="preserve"> </w:t>
      </w:r>
      <w:r>
        <w:t xml:space="preserve">The strong recyclability percentage and the presence of a take-back program result in a net carbon benefit due to avoided virgin material production, demonstrating the positive impact of circular economy initiatives.</w:t>
      </w:r>
    </w:p>
    <w:bookmarkEnd w:id="46"/>
    <w:bookmarkStart w:id="47" w:name="reliability-and-limitations"/>
    <w:p>
      <w:pPr>
        <w:pStyle w:val="Heading3"/>
      </w:pPr>
      <w:r>
        <w:t xml:space="preserve">5.2. Reliability and Limitations</w:t>
      </w:r>
    </w:p>
    <w:p>
      <w:pPr>
        <w:pStyle w:val="FirstParagraph"/>
      </w:pPr>
      <w:r>
        <w:t xml:space="preserve">The reliability of this PCF report is high, given its adherence to the GHG Protocol and the integration of specific,</w:t>
      </w:r>
      <w:r>
        <w:t xml:space="preserve"> </w:t>
      </w:r>
      <w:r>
        <w:t xml:space="preserve">detailed parameters. However, certain limitations inherent in any modeling exercise should be acknowledged:</w:t>
      </w:r>
    </w:p>
    <w:p>
      <w:pPr>
        <w:numPr>
          <w:ilvl w:val="0"/>
          <w:numId w:val="1025"/>
        </w:numPr>
        <w:pStyle w:val="Compact"/>
      </w:pPr>
      <w:r>
        <w:rPr>
          <w:bCs/>
          <w:b/>
        </w:rPr>
        <w:t xml:space="preserve">Emission Factor Specificity:</w:t>
      </w:r>
      <w:r>
        <w:t xml:space="preserve"> </w:t>
      </w:r>
      <w:r>
        <w:t xml:space="preserve">While industry-standard factors are used, real-world data from specific suppliers and transport providers would enhance accuracy. Illustrative emission factors were used for generic transport modes and electricity grids where precise regional/year-specific data was not provided.</w:t>
      </w:r>
    </w:p>
    <w:p>
      <w:pPr>
        <w:numPr>
          <w:ilvl w:val="0"/>
          <w:numId w:val="1025"/>
        </w:numPr>
        <w:pStyle w:val="Compact"/>
      </w:pPr>
      <w:r>
        <w:rPr>
          <w:bCs/>
          <w:b/>
        </w:rPr>
        <w:t xml:space="preserve">Data Assumptions:</w:t>
      </w:r>
      <w:r>
        <w:t xml:space="preserve"> </w:t>
      </w:r>
      <w:r>
        <w:t xml:space="preserve">Assumptions made for generic parameters (e.g., specific transport distances, last-mile delivery allocations, average material masses for transport calculation, and illustrative EoL emission factors) introduce a degree of uncertainty.</w:t>
      </w:r>
    </w:p>
    <w:p>
      <w:pPr>
        <w:numPr>
          <w:ilvl w:val="0"/>
          <w:numId w:val="1025"/>
        </w:numPr>
        <w:pStyle w:val="Compact"/>
      </w:pPr>
      <w:r>
        <w:rPr>
          <w:bCs/>
          <w:b/>
        </w:rPr>
        <w:t xml:space="preserve">2026 LSR Standard Application:</w:t>
      </w:r>
      <w:r>
        <w:t xml:space="preserve"> </w:t>
      </w:r>
      <w:r>
        <w:t xml:space="preserve">The application of the LSR Standard is acknowledged, however, specific calculations related to land use change for raw material sourcing were not explicitly provided in the input and are incorporated conceptually based on general knowledge within the Scope 3 calculations. A full LSR assessment would require specific land-use change data per material.</w:t>
      </w:r>
    </w:p>
    <w:p>
      <w:pPr>
        <w:numPr>
          <w:ilvl w:val="0"/>
          <w:numId w:val="1025"/>
        </w:numPr>
        <w:pStyle w:val="Compact"/>
      </w:pPr>
      <w:r>
        <w:rPr>
          <w:bCs/>
          <w:b/>
        </w:rPr>
        <w:t xml:space="preserve">Dynamic System:</w:t>
      </w:r>
      <w:r>
        <w:t xml:space="preserve"> </w:t>
      </w:r>
      <w:r>
        <w:t xml:space="preserve">Carbon footprints are dynamic. Changes in energy grids, manufacturing processes, material compositions, and logistics can alter the PCF over time.</w:t>
      </w:r>
    </w:p>
    <w:bookmarkEnd w:id="47"/>
    <w:bookmarkStart w:id="50" w:name="recommendations-for-further-action"/>
    <w:p>
      <w:pPr>
        <w:pStyle w:val="Heading3"/>
      </w:pPr>
      <w:r>
        <w:t xml:space="preserve">5.3. Recommendations for Further Action</w:t>
      </w:r>
    </w:p>
    <w:p>
      <w:pPr>
        <w:numPr>
          <w:ilvl w:val="0"/>
          <w:numId w:val="1026"/>
        </w:numPr>
        <w:pStyle w:val="Compact"/>
      </w:pPr>
      <w:r>
        <w:rPr>
          <w:bCs/>
          <w:b/>
        </w:rPr>
        <w:t xml:space="preserve">Energy Efficiency in Use Phase:</w:t>
      </w:r>
      <w:r>
        <w:t xml:space="preserve"> </w:t>
      </w:r>
      <w:r>
        <w:t xml:space="preserve">Investigate opportunities to reduce the product\'s energy consumption during its lifespan through design improvements, smart features, or user education.</w:t>
      </w:r>
    </w:p>
    <w:p>
      <w:pPr>
        <w:numPr>
          <w:ilvl w:val="0"/>
          <w:numId w:val="1026"/>
        </w:numPr>
        <w:pStyle w:val="Compact"/>
      </w:pPr>
      <w:r>
        <w:rPr>
          <w:bCs/>
          <w:b/>
        </w:rPr>
        <w:t xml:space="preserve">Supply Chain Optimization:</w:t>
      </w:r>
      <w:r>
        <w:t xml:space="preserve"> </w:t>
      </w:r>
      <w:r>
        <w:t xml:space="preserve">Explore options for sourcing lower-carbon materials or components and optimizing transport routes and modes for upstream and downstream logistics, particularly last-mile delivery.</w:t>
      </w:r>
    </w:p>
    <w:p>
      <w:pPr>
        <w:numPr>
          <w:ilvl w:val="0"/>
          <w:numId w:val="1026"/>
        </w:numPr>
        <w:pStyle w:val="Compact"/>
      </w:pPr>
      <w:r>
        <w:rPr>
          <w:bCs/>
          <w:b/>
        </w:rPr>
        <w:t xml:space="preserve">Renewable Energy Expansion:</w:t>
      </w:r>
      <w:r>
        <w:t xml:space="preserve"> </w:t>
      </w:r>
      <w:r>
        <w:t xml:space="preserve">Continuously increase the share of renewable energy used in manufacturing facilities to further reduce Scope 2 emissions.</w:t>
      </w:r>
    </w:p>
    <w:p>
      <w:pPr>
        <w:numPr>
          <w:ilvl w:val="0"/>
          <w:numId w:val="1026"/>
        </w:numPr>
        <w:pStyle w:val="Compact"/>
      </w:pPr>
      <w:r>
        <w:rPr>
          <w:bCs/>
          <w:b/>
        </w:rPr>
        <w:t xml:space="preserve">Circular Economy Enhancement:</w:t>
      </w:r>
      <w:r>
        <w:t xml:space="preserve"> </w:t>
      </w:r>
      <w:r>
        <w:t xml:space="preserve">Continue to strengthen circular programs and explore opportunities for design for disassembly and repairability to further extend product life and improve end-of-life outcomes.</w:t>
      </w:r>
    </w:p>
    <w:p>
      <w:pPr>
        <w:numPr>
          <w:ilvl w:val="0"/>
          <w:numId w:val="1026"/>
        </w:numPr>
        <w:pStyle w:val="Compact"/>
      </w:pPr>
      <w:r>
        <w:rPr>
          <w:bCs/>
          <w:b/>
        </w:rPr>
        <w:t xml:space="preserve">Primary Data Collection:</w:t>
      </w:r>
      <w:r>
        <w:t xml:space="preserve"> </w:t>
      </w:r>
      <w:r>
        <w:t xml:space="preserve">Conduct primary data collection for key emission hotspots, especially for specific transport routes and energy consumption data from suppliers, to refine the accuracy of future PCF analyses.</w:t>
      </w:r>
    </w:p>
    <w:p>
      <w:r>
        <w:pict>
          <v:rect style="width:0;height:1.5pt" o:hralign="center" o:hrstd="t" o:hr="t"/>
        </w:pict>
      </w:r>
    </w:p>
    <w:p>
      <w:pPr>
        <w:pStyle w:val="FirstParagraph"/>
      </w:pPr>
      <w:r>
        <w:t xml:space="preserve">Confidential - Internal Use Only | Page</w:t>
      </w:r>
      <w:r>
        <w:t xml:space="preserve"> </w:t>
      </w:r>
      <w:bookmarkStart w:id="48" w:name="page-num"/>
      <w:bookmarkEnd w:id="48"/>
      <w:r>
        <w:t xml:space="preserve"> </w:t>
      </w:r>
      <w:r>
        <w:t xml:space="preserve">of</w:t>
      </w:r>
      <w:r>
        <w:t xml:space="preserve"> </w:t>
      </w:r>
      <w:bookmarkStart w:id="49" w:name="page-count"/>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uwldjsisjx</dc:title>
  <dc:creator/>
  <dc:description>Detailed Product Carbon Footprint (PCF) analysis report for uwldjsisjx, conducted by ytsmoqehvj of uxjqqjgfsk, adhering to the GHG Protocol and 2026 LSR Update.</dc:description>
  <dc:language>en</dc:language>
  <cp:keywords/>
  <dcterms:created xsi:type="dcterms:W3CDTF">2026-05-30T18:09:22Z</dcterms:created>
  <dcterms:modified xsi:type="dcterms:W3CDTF">2026-05-30T18:09:22Z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