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uvlsgeymif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uvlsgeymif</w:t>
      </w:r>
    </w:p>
    <w:p>
      <w:pPr>
        <w:pStyle w:val="BodyText"/>
      </w:pPr>
      <w:r>
        <w:t xml:space="preserve">Company: edqdrtywnt</w:t>
      </w:r>
    </w:p>
    <w:p>
      <w:pPr>
        <w:pStyle w:val="BodyText"/>
      </w:pPr>
      <w:r>
        <w:t xml:space="preserve">Senior Sustainability Consultant: olhgnxhhyq</w:t>
      </w:r>
    </w:p>
    <w:p>
      <w:pPr>
        <w:pStyle w:val="BodyText"/>
      </w:pPr>
      <w:r>
        <w:t xml:space="preserve">Protocol Data (Accounting Standard): GHG Protocol</w:t>
      </w:r>
    </w:p>
    <w:p>
      <w:pPr>
        <w:pStyle w:val="BodyText"/>
      </w:pPr>
      <w:r>
        <w:t xml:space="preserve">Disclaimer: This report is generated based on available data, industry standards, and specified parameters.</w:t>
      </w:r>
      <w:r>
        <w:t xml:space="preserve"> </w:t>
      </w:r>
      <w:r>
        <w:t xml:space="preserve">While every effort has been made to ensure accuracy, actual emissions may vary.</w:t>
      </w:r>
    </w:p>
    <w:bookmarkEnd w:id="20"/>
    <w:bookmarkStart w:id="21" w:name="X6b007ad989e9565d1d6aa3bd5f365fb668f70f7"/>
    <w:p>
      <w:pPr>
        <w:pStyle w:val="Heading1"/>
      </w:pPr>
      <w:r>
        <w:t xml:space="preserve">Product Carbon Footprint (PCF) Analysis Report: uvlsgeymif</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uvlsgeymif</w:t>
      </w:r>
      <w:r>
        <w:t xml:space="preserve">,</w:t>
      </w:r>
      <w:r>
        <w:t xml:space="preserve"> </w:t>
      </w:r>
      <w:r>
        <w:t xml:space="preserve">manufactured by</w:t>
      </w:r>
      <w:r>
        <w:t xml:space="preserve"> </w:t>
      </w:r>
      <w:r>
        <w:rPr>
          <w:bCs/>
          <w:b/>
        </w:rPr>
        <w:t xml:space="preserve">edqdrtywnt</w:t>
      </w:r>
      <w:r>
        <w:t xml:space="preserve">. The analysis was conducted by</w:t>
      </w:r>
      <w:r>
        <w:t xml:space="preserve"> </w:t>
      </w:r>
      <w:r>
        <w:rPr>
          <w:bCs/>
          <w:b/>
        </w:rPr>
        <w:t xml:space="preserve">olhgnxhhyq</w:t>
      </w:r>
      <w:r>
        <w:t xml:space="preserve">, Senior Sustainability Consultant,</w:t>
      </w:r>
      <w:r>
        <w:t xml:space="preserve"> </w:t>
      </w:r>
      <w:r>
        <w:t xml:space="preserve">specializing in GHG Protocol. The PCF quantifies the total greenhouse gas (GHG) emissions associated with the product\'s</w:t>
      </w:r>
      <w:r>
        <w:t xml:space="preserve"> </w:t>
      </w:r>
      <w:r>
        <w:t xml:space="preserve">lifecycle, from raw material acquisition to end-of-life, following the Greenhouse Gas Protocol\'s Product Standard.</w:t>
      </w:r>
      <w:r>
        <w:t xml:space="preserve"> </w:t>
      </w:r>
      <w:r>
        <w:t xml:space="preserve">Key findings identify hotspots across the value chain, providing actionable insights for emission reduction strategies</w:t>
      </w:r>
      <w:r>
        <w:t xml:space="preserve"> </w:t>
      </w:r>
      <w:r>
        <w:t xml:space="preserve">and enhancing sustainability performance. The analysis adheres to the 2026 updates for GHG Protocol, including</w:t>
      </w:r>
      <w:r>
        <w:t xml:space="preserve"> </w:t>
      </w:r>
      <w:r>
        <w:t xml:space="preserve">considerations for the Land Sector and Removals (LSR) Standard and stringent Scope 3 coverage requirements.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foundational parameters for accurate and consistent accounting,</w:t>
      </w:r>
      <w:r>
        <w:t xml:space="preserve"> </w:t>
      </w:r>
      <w:r>
        <w:t xml:space="preserve">in strict accordance with the GHG Protocol.</w:t>
      </w:r>
    </w:p>
    <w:p>
      <w:pPr>
        <w:numPr>
          <w:ilvl w:val="0"/>
          <w:numId w:val="1001"/>
        </w:numPr>
        <w:pStyle w:val="Compact"/>
      </w:pPr>
      <w:r>
        <w:rPr>
          <w:bCs/>
          <w:b/>
        </w:rPr>
        <w:t xml:space="preserve">Functional Unit:</w:t>
      </w:r>
      <w:r>
        <w:t xml:space="preserve"> </w:t>
      </w:r>
      <w:r>
        <w:t xml:space="preserve">1.0 unit of uvlsgeymif. This represents the reference unit to which all inputs and outputs are normalized, ensuring comparability and clarity of results.</w:t>
      </w:r>
    </w:p>
    <w:p>
      <w:pPr>
        <w:numPr>
          <w:ilvl w:val="0"/>
          <w:numId w:val="1001"/>
        </w:numPr>
        <w:pStyle w:val="Compact"/>
      </w:pPr>
      <w:r>
        <w:rPr>
          <w:bCs/>
          <w:b/>
        </w:rPr>
        <w:t xml:space="preserve">System Boundary:</w:t>
      </w:r>
      <w:r>
        <w:t xml:space="preserve"> </w:t>
      </w:r>
      <w:r>
        <w:t xml:space="preserve">factory_gate. The system boundary encompasses all emissions from raw material extraction, processing, manufacturing, and transport up to the point the finished product leaves the factory gate. For this report, the scope extends beyond the factory gate to include downstream transportation,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significant upstream material sourcing and downstream distribution activities within Europe and to the final market.</w:t>
      </w:r>
    </w:p>
    <w:p>
      <w:pPr>
        <w:numPr>
          <w:ilvl w:val="0"/>
          <w:numId w:val="1001"/>
        </w:numPr>
        <w:pStyle w:val="Compact"/>
      </w:pPr>
      <w:r>
        <w:rPr>
          <w:bCs/>
          <w:b/>
        </w:rPr>
        <w:t xml:space="preserve">Accounting Standard:</w:t>
      </w:r>
      <w:r>
        <w:t xml:space="preserve"> </w:t>
      </w:r>
      <w:r>
        <w:t xml:space="preserve">GHG Protocol. The analysis strictly adheres to the Greenhouse Gas Protocol\'s Product Standard, which provides a comprehensive framework for measuring and managing value chain GHG emissions and carbon removals. This ensures consistency, transparency, and comparability of the reported footprint.</w:t>
      </w:r>
    </w:p>
    <w:p>
      <w:pPr>
        <w:numPr>
          <w:ilvl w:val="0"/>
          <w:numId w:val="1001"/>
        </w:numPr>
        <w:pStyle w:val="Compact"/>
      </w:pPr>
      <w:r>
        <w:rPr>
          <w:bCs/>
          <w:b/>
        </w:rPr>
        <w:t xml:space="preserve">Allocation:</w:t>
      </w:r>
      <w:r>
        <w:t xml:space="preserve"> </w:t>
      </w:r>
      <w:r>
        <w:t xml:space="preserve">Emissions are allocated across product lifecycle stages based on physical causality where possible (e.g., direct material use, energy consumption). For shared processes (e.g., transportation with other goods), mass-based allocation is applied.</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PCF analysis of uvlsgeymif.</w:t>
      </w:r>
      <w:r>
        <w:t xml:space="preserve"> </w:t>
      </w:r>
      <w:r>
        <w:t xml:space="preserve">The inventory stages cover materials, manufacturing, transport, use, and end-of-life.</w:t>
      </w:r>
    </w:p>
    <w:bookmarkStart w:id="24" w:name="X03009c137a43313aa2402a234267084e196d2e6"/>
    <w:p>
      <w:pPr>
        <w:pStyle w:val="Heading3"/>
      </w:pPr>
      <w:r>
        <w:t xml:space="preserve">2.1. Detailed Bill of Materials (BOM) - Upstream Emissions (Scope 3, Category 1)</w:t>
      </w:r>
    </w:p>
    <w:p>
      <w:pPr>
        <w:pStyle w:val="FirstParagraph"/>
      </w:pPr>
      <w:r>
        <w:t xml:space="preserve">The following Bill of Materials (BOM) for uvlsgeymif was provided and used for high-accuracy material impact calculation,</w:t>
      </w:r>
      <w:r>
        <w:t xml:space="preserve"> </w:t>
      </w:r>
      <w:r>
        <w:t xml:space="preserve">superseding any default estimates. The \'Total Carbon\' values represent pre-calculated emissions for the specified quantity</w:t>
      </w:r>
      <w:r>
        <w:t xml:space="preserve"> </w:t>
      </w:r>
      <w:r>
        <w:t xml:space="preserve">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t xml:space="preserve">Total estimated product weight (excluding packaging from BOM for production weight calculations): 6.35 kg.</w:t>
      </w:r>
      <w:r>
        <w:t xml:space="preserve"> </w:t>
      </w:r>
      <w:r>
        <w:t xml:space="preserve">Total estimated product weight (including packaging for transport calculations): 6.65 kg.</w:t>
      </w:r>
    </w:p>
    <w:bookmarkEnd w:id="24"/>
    <w:bookmarkStart w:id="25" w:name="Xea875d346d552e88197534214d02e1244fb26ca"/>
    <w:p>
      <w:pPr>
        <w:pStyle w:val="Heading3"/>
      </w:pPr>
      <w:r>
        <w:t xml:space="preserve">2.2. Production Energy Inputs - Manufacturing (Scope 1 &amp; 2)</w:t>
      </w:r>
    </w:p>
    <w:p>
      <w:pPr>
        <w:pStyle w:val="FirstParagraph"/>
      </w:pPr>
      <w:r>
        <w:t xml:space="preserve">The manufacturing phase of uvlsgeymif occurs in China. Energy consumption and source mix are critical factors.</w:t>
      </w:r>
    </w:p>
    <w:p>
      <w:pPr>
        <w:numPr>
          <w:ilvl w:val="0"/>
          <w:numId w:val="1002"/>
        </w:numPr>
        <w:pStyle w:val="Compact"/>
      </w:pPr>
      <w:r>
        <w:rPr>
          <w:bCs/>
          <w:b/>
        </w:rPr>
        <w:t xml:space="preserve">Renewable Energy Usage:</w:t>
      </w:r>
      <w:r>
        <w:t xml:space="preserve"> </w:t>
      </w:r>
      <w:r>
        <w:t xml:space="preserve">75% (seqmkhoefu). This high percentage significantly reduces the Scope 2 emissions associated with purchased electricity.</w:t>
      </w:r>
    </w:p>
    <w:p>
      <w:pPr>
        <w:numPr>
          <w:ilvl w:val="0"/>
          <w:numId w:val="1002"/>
        </w:numPr>
        <w:pStyle w:val="Compact"/>
      </w:pPr>
      <w:r>
        <w:rPr>
          <w:bCs/>
          <w:b/>
        </w:rPr>
        <w:t xml:space="preserve">Energy Intensity (kWh/unit):</w:t>
      </w:r>
      <w:r>
        <w:t xml:space="preserve"> </w:t>
      </w:r>
      <w:r>
        <w:t xml:space="preserve">15 kWh/unit (imlhjqppfh). This indicates the electricity consumed per unit of product during manufacturing.</w:t>
      </w:r>
    </w:p>
    <w:p>
      <w:pPr>
        <w:numPr>
          <w:ilvl w:val="0"/>
          <w:numId w:val="1002"/>
        </w:numPr>
        <w:pStyle w:val="Compact"/>
      </w:pPr>
      <w:r>
        <w:rPr>
          <w:bCs/>
          <w:b/>
        </w:rPr>
        <w:t xml:space="preserve">Electricity Emission Factor (China Grid Mix):</w:t>
      </w:r>
      <w:r>
        <w:t xml:space="preserve"> </w:t>
      </w:r>
      <w:r>
        <w:t xml:space="preserve">An average emission factor of 0.577 kg CO2e/kWh is used for grid electricity in China, based on recent data.</w:t>
      </w:r>
    </w:p>
    <w:bookmarkEnd w:id="25"/>
    <w:bookmarkStart w:id="26" w:name="X594409b0919ad1862dff7c97e790ce0008595d5"/>
    <w:p>
      <w:pPr>
        <w:pStyle w:val="Heading3"/>
      </w:pPr>
      <w:r>
        <w:t xml:space="preserve">2.3. Transport Logistics Data (Scope 3, Categories 4 &amp; 9)</w:t>
      </w:r>
    </w:p>
    <w:p>
      <w:pPr>
        <w:pStyle w:val="FirstParagraph"/>
      </w:pPr>
      <w:r>
        <w:t xml:space="preserve">Logistics play a significant role in the overall product footprint due to the global supply chain.</w:t>
      </w:r>
    </w:p>
    <w:p>
      <w:pPr>
        <w:numPr>
          <w:ilvl w:val="0"/>
          <w:numId w:val="1003"/>
        </w:numPr>
        <w:pStyle w:val="Compact"/>
      </w:pPr>
      <w:r>
        <w:rPr>
          <w:bCs/>
          <w:b/>
        </w:rPr>
        <w:t xml:space="preserve">Transport Mode (Inbound, Raw Materials):</w:t>
      </w:r>
      <w:r>
        <w:t xml:space="preserve"> </w:t>
      </w:r>
      <w:r>
        <w:t xml:space="preserve">Given the "Europe Focused" supply chain to a "Final Production Country: China", a combination of maritime freight for transcontinental transport and road freight for regional distribution is assumed.</w:t>
      </w:r>
    </w:p>
    <w:p>
      <w:pPr>
        <w:numPr>
          <w:ilvl w:val="0"/>
          <w:numId w:val="1003"/>
        </w:numPr>
        <w:pStyle w:val="Compact"/>
      </w:pPr>
      <w:r>
        <w:rPr>
          <w:bCs/>
          <w:b/>
        </w:rPr>
        <w:t xml:space="preserve">Transport Mode (Outbound, Finished Product):</w:t>
      </w:r>
      <w:r>
        <w:t xml:space="preserve"> </w:t>
      </w:r>
      <w:r>
        <w:t xml:space="preserve">Road freight (HGV &gt; 3.5t) (Select Mode) for primary distribution.</w:t>
      </w:r>
    </w:p>
    <w:p>
      <w:pPr>
        <w:numPr>
          <w:ilvl w:val="0"/>
          <w:numId w:val="1003"/>
        </w:numPr>
        <w:pStyle w:val="Compact"/>
      </w:pPr>
      <w:r>
        <w:rPr>
          <w:bCs/>
          <w:b/>
        </w:rPr>
        <w:t xml:space="preserve">Transport Distance (Outbound):</w:t>
      </w:r>
      <w:r>
        <w:t xml:space="preserve"> </w:t>
      </w:r>
      <w:r>
        <w:t xml:space="preserve">1500 km (kkeyzrejot). This distance is used for the primary outbound distribution of the finished product.</w:t>
      </w:r>
    </w:p>
    <w:p>
      <w:pPr>
        <w:numPr>
          <w:ilvl w:val="0"/>
          <w:numId w:val="1003"/>
        </w:numPr>
        <w:pStyle w:val="Compact"/>
      </w:pPr>
      <w:r>
        <w:rPr>
          <w:bCs/>
          <w:b/>
        </w:rPr>
        <w:t xml:space="preserve">Last-Mile Delivery Channel:</w:t>
      </w:r>
      <w:r>
        <w:t xml:space="preserve"> </w:t>
      </w:r>
      <w:r>
        <w:t xml:space="preserve">Parcel service (van) (Delivery Type). A typical last-mile distance of 50 km is assumed for this segment.</w:t>
      </w:r>
    </w:p>
    <w:p>
      <w:pPr>
        <w:numPr>
          <w:ilvl w:val="0"/>
          <w:numId w:val="1003"/>
        </w:numPr>
        <w:pStyle w:val="Compact"/>
      </w:pPr>
      <w:r>
        <w:rPr>
          <w:bCs/>
          <w:b/>
        </w:rPr>
        <w:t xml:space="preserve">Illustrative Emission Factors Used:</w:t>
      </w:r>
    </w:p>
    <w:p>
      <w:pPr>
        <w:numPr>
          <w:ilvl w:val="1"/>
          <w:numId w:val="1004"/>
        </w:numPr>
        <w:pStyle w:val="Compact"/>
      </w:pPr>
      <w:r>
        <w:t xml:space="preserve">Maritime Freight: 0.025 kg CO2e/tonne-km.</w:t>
      </w:r>
    </w:p>
    <w:p>
      <w:pPr>
        <w:numPr>
          <w:ilvl w:val="1"/>
          <w:numId w:val="1004"/>
        </w:numPr>
        <w:pStyle w:val="Compact"/>
      </w:pPr>
      <w:r>
        <w:t xml:space="preserve">Road Freight (HGV &gt; 3.5t, general): 0.1 kg CO2e/tonne-km.</w:t>
      </w:r>
    </w:p>
    <w:p>
      <w:pPr>
        <w:numPr>
          <w:ilvl w:val="1"/>
          <w:numId w:val="1004"/>
        </w:numPr>
        <w:pStyle w:val="Compact"/>
      </w:pPr>
      <w:r>
        <w:t xml:space="preserve">Parcel Delivery Van: 0.249 kg CO2e/km.</w:t>
      </w:r>
    </w:p>
    <w:bookmarkEnd w:id="26"/>
    <w:bookmarkStart w:id="27" w:name="X01ef85e57be37c82edc8ca43fff383b2e64e377"/>
    <w:p>
      <w:pPr>
        <w:pStyle w:val="Heading3"/>
      </w:pPr>
      <w:r>
        <w:t xml:space="preserve">2.4. Use Phase Durability &amp; Consumption (Scope 3, Category 11)</w:t>
      </w:r>
    </w:p>
    <w:p>
      <w:pPr>
        <w:pStyle w:val="FirstParagraph"/>
      </w:pPr>
      <w:r>
        <w:t xml:space="preserve">The environmental impact during the product\'s lifespan is also considered.</w:t>
      </w:r>
    </w:p>
    <w:p>
      <w:pPr>
        <w:numPr>
          <w:ilvl w:val="0"/>
          <w:numId w:val="1005"/>
        </w:numPr>
        <w:pStyle w:val="Compact"/>
      </w:pPr>
      <w:r>
        <w:rPr>
          <w:bCs/>
          <w:b/>
        </w:rPr>
        <w:t xml:space="preserve">Product Lifespan:</w:t>
      </w:r>
      <w:r>
        <w:t xml:space="preserve"> </w:t>
      </w:r>
      <w:r>
        <w:t xml:space="preserve">3 years (foggxvjhjo).</w:t>
      </w:r>
    </w:p>
    <w:p>
      <w:pPr>
        <w:numPr>
          <w:ilvl w:val="0"/>
          <w:numId w:val="1005"/>
        </w:numPr>
        <w:pStyle w:val="Compact"/>
      </w:pPr>
      <w:r>
        <w:rPr>
          <w:bCs/>
          <w:b/>
        </w:rPr>
        <w:t xml:space="preserve">Energy Consumption in Use:</w:t>
      </w:r>
      <w:r>
        <w:t xml:space="preserve"> </w:t>
      </w:r>
      <w:r>
        <w:t xml:space="preserve">5 kWh/year (ieltwksdee). This reflects the average annual electricity consumption during the product\'s operational life.</w:t>
      </w:r>
    </w:p>
    <w:bookmarkEnd w:id="27"/>
    <w:bookmarkStart w:id="28" w:name="X3261202975bfccb1283f2bd5fabef2dfdbe9c90"/>
    <w:p>
      <w:pPr>
        <w:pStyle w:val="Heading3"/>
      </w:pPr>
      <w:r>
        <w:t xml:space="preserve">2.5. End-of-Life (EoL) Scenarios (Scope 3, Category 12)</w:t>
      </w:r>
    </w:p>
    <w:p>
      <w:pPr>
        <w:pStyle w:val="FirstParagraph"/>
      </w:pPr>
      <w:r>
        <w:t xml:space="preserve">End-of-life management is crucial for circularity and reducing environmental impact.</w:t>
      </w:r>
    </w:p>
    <w:p>
      <w:pPr>
        <w:numPr>
          <w:ilvl w:val="0"/>
          <w:numId w:val="1006"/>
        </w:numPr>
        <w:pStyle w:val="Compact"/>
      </w:pPr>
      <w:r>
        <w:rPr>
          <w:bCs/>
          <w:b/>
        </w:rPr>
        <w:t xml:space="preserve">Recyclability Percentage:</w:t>
      </w:r>
      <w:r>
        <w:t xml:space="preserve"> </w:t>
      </w:r>
      <w:r>
        <w:t xml:space="preserve">90% (omxozlurys). This high percentage indicates a strong potential for material recovery.</w:t>
      </w:r>
    </w:p>
    <w:p>
      <w:pPr>
        <w:numPr>
          <w:ilvl w:val="0"/>
          <w:numId w:val="1006"/>
        </w:numPr>
        <w:pStyle w:val="Compact"/>
      </w:pPr>
      <w:r>
        <w:rPr>
          <w:bCs/>
          <w:b/>
        </w:rPr>
        <w:t xml:space="preserve">Circular/Take-back Programs:</w:t>
      </w:r>
      <w:r>
        <w:t xml:space="preserve"> </w:t>
      </w:r>
      <w:r>
        <w:t xml:space="preserve">Yes, active take-back program in place (edxvrspkpq). The existence of such a program facilitates the high recyclability rate.</w:t>
      </w:r>
    </w:p>
    <w:p>
      <w:pPr>
        <w:numPr>
          <w:ilvl w:val="0"/>
          <w:numId w:val="1006"/>
        </w:numPr>
        <w:pStyle w:val="Compact"/>
      </w:pPr>
      <w:r>
        <w:rPr>
          <w:bCs/>
          <w:b/>
        </w:rPr>
        <w:t xml:space="preserve">Illustrative Emission Factor (Waste to Landfill):</w:t>
      </w:r>
      <w:r>
        <w:t xml:space="preserve"> </w:t>
      </w:r>
      <w:r>
        <w:t xml:space="preserve">0.03 kg CO2e/kg (30 kg CO2e/tonne) for non-recycled waste.</w:t>
      </w:r>
    </w:p>
    <w:p>
      <w:r>
        <w:pict>
          <v:rect style="width:0;height:1.5pt" o:hralign="center" o:hrstd="t" o:hr="t"/>
        </w:pict>
      </w:r>
    </w:p>
    <w:bookmarkEnd w:id="28"/>
    <w:bookmarkEnd w:id="29"/>
    <w:bookmarkStart w:id="37" w:name="calculate-emissions"/>
    <w:p>
      <w:pPr>
        <w:pStyle w:val="Heading2"/>
      </w:pPr>
      <w:r>
        <w:t xml:space="preserve">4. Calculate Emissions</w:t>
      </w:r>
    </w:p>
    <w:p>
      <w:pPr>
        <w:pStyle w:val="FirstParagraph"/>
      </w:pPr>
      <w:r>
        <w:t xml:space="preserve">The calculation of GHG emissions follows the GHG Protocol\'s methodologies, categorizing emissions into Scope 1, 2, and 3.</w:t>
      </w:r>
      <w:r>
        <w:t xml:space="preserve"> </w:t>
      </w:r>
      <w:r>
        <w:t xml:space="preserve">All calculations convert GHGs to CO2 equivalents (CO2e) based on their Global Warming Potentials (GWP).</w:t>
      </w:r>
    </w:p>
    <w:bookmarkStart w:id="30" w:name="X659839d91fd99b9c1312e5baaf931415fce1a8c"/>
    <w:p>
      <w:pPr>
        <w:pStyle w:val="Heading3"/>
      </w:pPr>
      <w:r>
        <w:t xml:space="preserve">4.1. Adherence to GHG Protocol &amp; 2026 LSR Update</w:t>
      </w:r>
    </w:p>
    <w:p>
      <w:pPr>
        <w:pStyle w:val="FirstParagraph"/>
      </w:pPr>
      <w:r>
        <w:t xml:space="preserve">This analysis strictly adheres to the GHG Protocol Corporate Standard and Product Standard for categorization and calculation of emissions.</w:t>
      </w:r>
      <w:r>
        <w:t xml:space="preserve"> </w:t>
      </w:r>
      <w:r>
        <w:t xml:space="preserve">As part of the</w:t>
      </w:r>
      <w:r>
        <w:t xml:space="preserve"> </w:t>
      </w:r>
      <w:r>
        <w:rPr>
          <w:bCs/>
          <w:b/>
        </w:rPr>
        <w:t xml:space="preserve">2026 LSR Update</w:t>
      </w:r>
      <w:r>
        <w:t xml:space="preserve">, the Land Sector and Removals (LSR) Standard was released on January 30, 2026, and is set to take effect on January 1, 2027. This standard provides accounting requirements for land-based GHG emissions and carbon removals. While detailed guidance is expected in Q2 2026, this report acknowledges its impending application. For uvlsgeymif, direct land-use emissions are not identified as significant within the \'factory_gate\' system boundary for primary production, but upstream agricultural components (e.g., paper/cardboard in packaging) would fall under its purview in a full value chain assessment with more granular data. This report captures the essence of LSR by considering the full lifecycle impact of materials where data allows.</w:t>
      </w:r>
    </w:p>
    <w:bookmarkEnd w:id="30"/>
    <w:bookmarkStart w:id="31" w:name="scope-3-compliance-95-coverage"/>
    <w:p>
      <w:pPr>
        <w:pStyle w:val="Heading3"/>
      </w:pPr>
      <w:r>
        <w:t xml:space="preserve">4.2. Scope 3 Compliance (95% Coverage)</w:t>
      </w:r>
    </w:p>
    <w:p>
      <w:pPr>
        <w:pStyle w:val="FirstParagraph"/>
      </w:pPr>
      <w:r>
        <w:t xml:space="preserve">In line with the</w:t>
      </w:r>
      <w:r>
        <w:t xml:space="preserve"> </w:t>
      </w:r>
      <w:r>
        <w:rPr>
          <w:bCs/>
          <w:b/>
        </w:rPr>
        <w:t xml:space="preserve">2026 requirements</w:t>
      </w:r>
      <w:r>
        <w:t xml:space="preserve">, this PCF analysis aims for at least 95% coverage for Scope 3 reporting. This ensures a comprehensive representation of value chain emissions, moving towards tighter quantitative boundaries and greater transparency. The structured data collection and detailed lifecycle mapping in this report support this robust coverage.</w:t>
      </w:r>
    </w:p>
    <w:bookmarkEnd w:id="31"/>
    <w:bookmarkStart w:id="35" w:name="emission-calculation-breakdown"/>
    <w:p>
      <w:pPr>
        <w:pStyle w:val="Heading3"/>
      </w:pPr>
      <w:r>
        <w:t xml:space="preserve">4.3. Emission Calculation Breakdown</w:t>
      </w:r>
    </w:p>
    <w:bookmarkStart w:id="32" w:name="X223d55ad1cb17aeb385fd638ffc3c9cc61666d2"/>
    <w:p>
      <w:pPr>
        <w:pStyle w:val="Heading4"/>
      </w:pPr>
      <w:r>
        <w:t xml:space="preserve">Scope 1: Direct Emissions (from owned or controlled sources)</w:t>
      </w:r>
    </w:p>
    <w:p>
      <w:pPr>
        <w:pStyle w:val="FirstParagraph"/>
      </w:pPr>
      <w:r>
        <w:t xml:space="preserve">Based on the provided parameters, direct Scope 1 emissions from fuel combustion in owned or controlled facilities for uvlsgeymif\'s production are assumed to be negligible or are indirectly accounted for within the purchased electricity profile if self-generation uses grid fuel mix. Without specific fuel consumption data for direct operations, this category is not quantified separately.</w:t>
      </w:r>
    </w:p>
    <w:bookmarkEnd w:id="32"/>
    <w:bookmarkStart w:id="33" w:name="X940f739cc6425d99b84e128f190b13e064c5cd0"/>
    <w:p>
      <w:pPr>
        <w:pStyle w:val="Heading4"/>
      </w:pPr>
      <w:r>
        <w:t xml:space="preserve">Scope 2: Indirect Emissions from Purchased Energy</w:t>
      </w:r>
    </w:p>
    <w:p>
      <w:pPr>
        <w:pStyle w:val="FirstParagraph"/>
      </w:pPr>
      <w:r>
        <w:t xml:space="preserve">These emissions result from the generation of purchased electricity consumed by edqdrtywnt\'s manufacturing operations in China.</w:t>
      </w:r>
    </w:p>
    <w:p>
      <w:pPr>
        <w:numPr>
          <w:ilvl w:val="0"/>
          <w:numId w:val="1007"/>
        </w:numPr>
        <w:pStyle w:val="Compact"/>
      </w:pPr>
      <w:r>
        <w:t xml:space="preserve">Total Electricity Consumption = Energy Intensity (15 kWh/unit)</w:t>
      </w:r>
    </w:p>
    <w:p>
      <w:pPr>
        <w:numPr>
          <w:ilvl w:val="0"/>
          <w:numId w:val="1007"/>
        </w:numPr>
        <w:pStyle w:val="Compact"/>
      </w:pPr>
      <w:r>
        <w:t xml:space="preserve">Non-Renewable Electricity Usage = 100% - Renewable Energy Usage (75%) = 25%</w:t>
      </w:r>
    </w:p>
    <w:p>
      <w:pPr>
        <w:numPr>
          <w:ilvl w:val="0"/>
          <w:numId w:val="1007"/>
        </w:numPr>
        <w:pStyle w:val="Compact"/>
      </w:pPr>
      <w:r>
        <w:t xml:space="preserve">Emissions = Total Electricity Consumption * Non-Renewable Percentage * Electricity Emission Factor (China)</w:t>
      </w:r>
    </w:p>
    <w:p>
      <w:pPr>
        <w:numPr>
          <w:ilvl w:val="0"/>
          <w:numId w:val="1007"/>
        </w:numPr>
        <w:pStyle w:val="Compact"/>
      </w:pPr>
      <w:r>
        <w:t xml:space="preserve">Emissions = 15 kWh/unit * 0.25 * 0.577 kg CO2e/kWh =</w:t>
      </w:r>
      <w:r>
        <w:t xml:space="preserve"> </w:t>
      </w:r>
      <w:r>
        <w:rPr>
          <w:bCs/>
          <w:b/>
        </w:rPr>
        <w:t xml:space="preserve">2.164 kg CO2e/unit</w:t>
      </w:r>
    </w:p>
    <w:bookmarkEnd w:id="33"/>
    <w:bookmarkStart w:id="34" w:name="Xd1c2b652bc5876514f180a21f002993b8de8e83"/>
    <w:p>
      <w:pPr>
        <w:pStyle w:val="Heading4"/>
      </w:pPr>
      <w:r>
        <w:t xml:space="preserve">Scope 3: Other Indirect Emissions (Value Chain)</w:t>
      </w:r>
    </w:p>
    <w:p>
      <w:pPr>
        <w:pStyle w:val="FirstParagraph"/>
      </w:pPr>
      <w:r>
        <w:t xml:space="preserve">Scope 3 emissions are typically the largest portion of a product\'s footprint, covering all other indirect emissions.</w:t>
      </w:r>
    </w:p>
    <w:p>
      <w:pPr>
        <w:pStyle w:val="BodyText"/>
      </w:pPr>
      <w:r>
        <w:rPr>
          <w:bCs/>
          <w:b/>
        </w:rPr>
        <w:t xml:space="preserve">Category 1: Purchased Goods and Services (Materials)</w:t>
      </w:r>
    </w:p>
    <w:p>
      <w:pPr>
        <w:pStyle w:val="BodyText"/>
      </w:pPr>
      <w:r>
        <w:t xml:space="preserve">These emissions stem from the extraction, production, and transportation of raw materials and components for uvlsgeymif.</w:t>
      </w:r>
      <w:r>
        <w:t xml:space="preserve"> </w:t>
      </w:r>
      <w:r>
        <w:t xml:space="preserve">The \'Total Carbon\' values provided in the BOM are directly used.</w:t>
      </w:r>
    </w:p>
    <w:p>
      <w:pPr>
        <w:numPr>
          <w:ilvl w:val="0"/>
          <w:numId w:val="1008"/>
        </w:numPr>
        <w:pStyle w:val="Compact"/>
      </w:pPr>
      <w:r>
        <w:t xml:space="preserve">Total Material Emissions = Sum of \'Total Carbon\' from BOM</w:t>
      </w:r>
    </w:p>
    <w:p>
      <w:pPr>
        <w:numPr>
          <w:ilvl w:val="0"/>
          <w:numId w:val="1008"/>
        </w:numPr>
        <w:pStyle w:val="Compact"/>
      </w:pPr>
      <w:r>
        <w:t xml:space="preserve">Total Material Emissions = 12.5 (Steel) + 3.6 (Plastic) + 0.8 (Copper) + 1.0 (PCB) + 0.15 (Packaging) =</w:t>
      </w:r>
      <w:r>
        <w:t xml:space="preserve"> </w:t>
      </w:r>
      <w:r>
        <w:rPr>
          <w:bCs/>
          <w:b/>
        </w:rPr>
        <w:t xml:space="preserve">18.05 kg CO2e/unit</w:t>
      </w:r>
    </w:p>
    <w:p>
      <w:pPr>
        <w:pStyle w:val="FirstParagraph"/>
      </w:pPr>
      <w:r>
        <w:rPr>
          <w:bCs/>
          <w:b/>
        </w:rPr>
        <w:t xml:space="preserve">Category 4: Upstream Transportation and Distribution (Inbound Logistics)</w:t>
      </w:r>
    </w:p>
    <w:p>
      <w:pPr>
        <w:pStyle w:val="BodyText"/>
      </w:pPr>
      <w:r>
        <w:t xml:space="preserve">This accounts for the transportation of raw materials from Europe to the manufacturing plant in China.</w:t>
      </w:r>
      <w:r>
        <w:t xml:space="preserve"> </w:t>
      </w:r>
      <w:r>
        <w:t xml:space="preserve">Assumed average distance for raw materials (Europe to China): 8,000 km (Maritime) + 500 km (Road).</w:t>
      </w:r>
      <w:r>
        <w:t xml:space="preserve"> </w:t>
      </w:r>
      <w:r>
        <w:t xml:space="preserve">Assumed total product weight (sum of BOM quantities): 6.65 kg (0.00665 tonnes).</w:t>
      </w:r>
    </w:p>
    <w:p>
      <w:pPr>
        <w:numPr>
          <w:ilvl w:val="0"/>
          <w:numId w:val="1009"/>
        </w:numPr>
        <w:pStyle w:val="Compact"/>
      </w:pPr>
      <w:r>
        <w:t xml:space="preserve">Maritime Transport Emissions = Product Weight (tonnes) * Maritime Distance (km) * Maritime EF</w:t>
      </w:r>
    </w:p>
    <w:p>
      <w:pPr>
        <w:numPr>
          <w:ilvl w:val="0"/>
          <w:numId w:val="1009"/>
        </w:numPr>
        <w:pStyle w:val="Compact"/>
      </w:pPr>
      <w:r>
        <w:t xml:space="preserve">Maritime Transport Emissions = 0.00665 t * 8000 km * 0.025 kg CO2e/tkm = 1.33 kg CO2e</w:t>
      </w:r>
    </w:p>
    <w:p>
      <w:pPr>
        <w:numPr>
          <w:ilvl w:val="0"/>
          <w:numId w:val="1009"/>
        </w:numPr>
        <w:pStyle w:val="Compact"/>
      </w:pPr>
      <w:r>
        <w:t xml:space="preserve">Road Transport Emissions = Product Weight (tonnes) * Road Distance (km) * Road EF</w:t>
      </w:r>
    </w:p>
    <w:p>
      <w:pPr>
        <w:numPr>
          <w:ilvl w:val="0"/>
          <w:numId w:val="1009"/>
        </w:numPr>
        <w:pStyle w:val="Compact"/>
      </w:pPr>
      <w:r>
        <w:t xml:space="preserve">Road Transport Emissions = 0.00665 t * 500 km * 0.1 kg CO2e/tkm = 0.3325 kg CO2e</w:t>
      </w:r>
    </w:p>
    <w:p>
      <w:pPr>
        <w:numPr>
          <w:ilvl w:val="0"/>
          <w:numId w:val="1009"/>
        </w:numPr>
        <w:pStyle w:val="Compact"/>
      </w:pPr>
      <w:r>
        <w:t xml:space="preserve">Total Inbound Logistics Emissions = 1.33 + 0.3325 =</w:t>
      </w:r>
      <w:r>
        <w:t xml:space="preserve"> </w:t>
      </w:r>
      <w:r>
        <w:rPr>
          <w:bCs/>
          <w:b/>
        </w:rPr>
        <w:t xml:space="preserve">1.663 kg CO2e/unit</w:t>
      </w:r>
    </w:p>
    <w:p>
      <w:pPr>
        <w:pStyle w:val="FirstParagraph"/>
      </w:pPr>
      <w:r>
        <w:rPr>
          <w:bCs/>
          <w:b/>
        </w:rPr>
        <w:t xml:space="preserve">Category 9: Downstream Transportation and Distribution (Outbound Logistics &amp; Last-Mile Delivery)</w:t>
      </w:r>
    </w:p>
    <w:p>
      <w:pPr>
        <w:pStyle w:val="BodyText"/>
      </w:pPr>
      <w:r>
        <w:t xml:space="preserve">This covers the transportation of the finished product from the factory gate to the end-consumer.</w:t>
      </w:r>
    </w:p>
    <w:p>
      <w:pPr>
        <w:numPr>
          <w:ilvl w:val="0"/>
          <w:numId w:val="1010"/>
        </w:numPr>
        <w:pStyle w:val="Compact"/>
      </w:pPr>
      <w:r>
        <w:t xml:space="preserve">Primary Outbound Distribution (from China to European distribution hub):</w:t>
      </w:r>
    </w:p>
    <w:p>
      <w:pPr>
        <w:numPr>
          <w:ilvl w:val="1"/>
          <w:numId w:val="1011"/>
        </w:numPr>
        <w:pStyle w:val="Compact"/>
      </w:pPr>
      <w:r>
        <w:t xml:space="preserve">Transport Distance (kkeyzrejot): 1500 km (Assumed Road Freight).</w:t>
      </w:r>
    </w:p>
    <w:p>
      <w:pPr>
        <w:numPr>
          <w:ilvl w:val="1"/>
          <w:numId w:val="1011"/>
        </w:numPr>
        <w:pStyle w:val="Compact"/>
      </w:pPr>
      <w:r>
        <w:t xml:space="preserve">Emissions = Product Weight (tonnes) * Outbound Distance (km) * Road EF</w:t>
      </w:r>
    </w:p>
    <w:p>
      <w:pPr>
        <w:numPr>
          <w:ilvl w:val="1"/>
          <w:numId w:val="1011"/>
        </w:numPr>
        <w:pStyle w:val="Compact"/>
      </w:pPr>
      <w:r>
        <w:t xml:space="preserve">Emissions = 0.00665 t * 1500 km * 0.1 kg CO2e/tkm = 0.9975 kg CO2e</w:t>
      </w:r>
    </w:p>
    <w:p>
      <w:pPr>
        <w:numPr>
          <w:ilvl w:val="0"/>
          <w:numId w:val="1010"/>
        </w:numPr>
        <w:pStyle w:val="Compact"/>
      </w:pPr>
      <w:r>
        <w:t xml:space="preserve">Last-Mile Delivery (Delivery Type: Parcel service - van):</w:t>
      </w:r>
    </w:p>
    <w:p>
      <w:pPr>
        <w:numPr>
          <w:ilvl w:val="1"/>
          <w:numId w:val="1012"/>
        </w:numPr>
        <w:pStyle w:val="Compact"/>
      </w:pPr>
      <w:r>
        <w:t xml:space="preserve">Assumed Last-Mile Distance: 50 km.</w:t>
      </w:r>
    </w:p>
    <w:p>
      <w:pPr>
        <w:numPr>
          <w:ilvl w:val="1"/>
          <w:numId w:val="1012"/>
        </w:numPr>
        <w:pStyle w:val="Compact"/>
      </w:pPr>
      <w:r>
        <w:t xml:space="preserve">To allocate van emissions per unit, assuming a van carries 100 similar units for this distance.</w:t>
      </w:r>
    </w:p>
    <w:p>
      <w:pPr>
        <w:numPr>
          <w:ilvl w:val="1"/>
          <w:numId w:val="1012"/>
        </w:numPr>
        <w:pStyle w:val="Compact"/>
      </w:pPr>
      <w:r>
        <w:t xml:space="preserve">Emissions = (Van EF * Last-Mile Distance) / Number of Units</w:t>
      </w:r>
    </w:p>
    <w:p>
      <w:pPr>
        <w:numPr>
          <w:ilvl w:val="1"/>
          <w:numId w:val="1012"/>
        </w:numPr>
        <w:pStyle w:val="Compact"/>
      </w:pPr>
      <w:r>
        <w:t xml:space="preserve">Emissions = (0.249 kg CO2e/km * 50 km) / 100 units = 0.1245 kg CO2e</w:t>
      </w:r>
    </w:p>
    <w:p>
      <w:pPr>
        <w:numPr>
          <w:ilvl w:val="0"/>
          <w:numId w:val="1010"/>
        </w:numPr>
        <w:pStyle w:val="Compact"/>
      </w:pPr>
      <w:r>
        <w:t xml:space="preserve">Total Outbound Logistics Emissions = 0.9975 + 0.1245 =</w:t>
      </w:r>
      <w:r>
        <w:t xml:space="preserve"> </w:t>
      </w:r>
      <w:r>
        <w:rPr>
          <w:bCs/>
          <w:b/>
        </w:rPr>
        <w:t xml:space="preserve">1.122 kg CO2e/unit</w:t>
      </w:r>
    </w:p>
    <w:p>
      <w:pPr>
        <w:pStyle w:val="FirstParagraph"/>
      </w:pPr>
      <w:r>
        <w:rPr>
          <w:bCs/>
          <w:b/>
        </w:rPr>
        <w:t xml:space="preserve">Category 11: Use of Sold Products</w:t>
      </w:r>
    </w:p>
    <w:p>
      <w:pPr>
        <w:pStyle w:val="BodyText"/>
      </w:pPr>
      <w:r>
        <w:t xml:space="preserve">Emissions generated during the product\'s lifespan, primarily from electricity consumption.</w:t>
      </w:r>
    </w:p>
    <w:p>
      <w:pPr>
        <w:numPr>
          <w:ilvl w:val="0"/>
          <w:numId w:val="1013"/>
        </w:numPr>
        <w:pStyle w:val="Compact"/>
      </w:pPr>
      <w:r>
        <w:t xml:space="preserve">Total Use Phase Energy Consumption = Energy Consumption in Use (5 kWh/year) * Product Lifespan (3 years) = 15 kWh</w:t>
      </w:r>
    </w:p>
    <w:p>
      <w:pPr>
        <w:numPr>
          <w:ilvl w:val="0"/>
          <w:numId w:val="1013"/>
        </w:numPr>
        <w:pStyle w:val="Compact"/>
      </w:pPr>
      <w:r>
        <w:t xml:space="preserve">Emissions = Total Use Phase Energy Consumption * Electricity Emission Factor (European average assumed for consumption market)</w:t>
      </w:r>
    </w:p>
    <w:p>
      <w:pPr>
        <w:numPr>
          <w:ilvl w:val="0"/>
          <w:numId w:val="1013"/>
        </w:numPr>
        <w:pStyle w:val="Compact"/>
      </w:pPr>
      <w:r>
        <w:t xml:space="preserve">Assuming a European average electricity emission factor of 0.25 kg CO2e/kWh (illustrative for consumption market).</w:t>
      </w:r>
    </w:p>
    <w:p>
      <w:pPr>
        <w:numPr>
          <w:ilvl w:val="0"/>
          <w:numId w:val="1013"/>
        </w:numPr>
        <w:pStyle w:val="Compact"/>
      </w:pPr>
      <w:r>
        <w:t xml:space="preserve">Emissions = 15 kWh * 0.25 kg CO2e/kWh =</w:t>
      </w:r>
      <w:r>
        <w:t xml:space="preserve"> </w:t>
      </w:r>
      <w:r>
        <w:rPr>
          <w:bCs/>
          <w:b/>
        </w:rPr>
        <w:t xml:space="preserve">3.75 kg CO2e/unit</w:t>
      </w:r>
    </w:p>
    <w:p>
      <w:pPr>
        <w:pStyle w:val="FirstParagraph"/>
      </w:pPr>
      <w:r>
        <w:rPr>
          <w:bCs/>
          <w:b/>
        </w:rPr>
        <w:t xml:space="preserve">Category 12: End-of-Life Treatment of Sold Products</w:t>
      </w:r>
    </w:p>
    <w:p>
      <w:pPr>
        <w:pStyle w:val="BodyText"/>
      </w:pPr>
      <w:r>
        <w:t xml:space="preserve">Emissions associated with the disposal of the product at the end of its life, considering recyclability and circular programs.</w:t>
      </w:r>
    </w:p>
    <w:p>
      <w:pPr>
        <w:numPr>
          <w:ilvl w:val="0"/>
          <w:numId w:val="1014"/>
        </w:numPr>
        <w:pStyle w:val="Compact"/>
      </w:pPr>
      <w:r>
        <w:t xml:space="preserve">Non-Recycled Portion = 100% - Recyclability Percentage (90%) = 10%</w:t>
      </w:r>
    </w:p>
    <w:p>
      <w:pPr>
        <w:numPr>
          <w:ilvl w:val="0"/>
          <w:numId w:val="1014"/>
        </w:numPr>
        <w:pStyle w:val="Compact"/>
      </w:pPr>
      <w:r>
        <w:t xml:space="preserve">Weight to Landfill = Product Weight (kg) * Non-Recycled Portion</w:t>
      </w:r>
    </w:p>
    <w:p>
      <w:pPr>
        <w:numPr>
          <w:ilvl w:val="0"/>
          <w:numId w:val="1014"/>
        </w:numPr>
        <w:pStyle w:val="Compact"/>
      </w:pPr>
      <w:r>
        <w:t xml:space="preserve">Weight to Landfill = 6.65 kg * 0.10 = 0.665 kg</w:t>
      </w:r>
    </w:p>
    <w:p>
      <w:pPr>
        <w:numPr>
          <w:ilvl w:val="0"/>
          <w:numId w:val="1014"/>
        </w:numPr>
        <w:pStyle w:val="Compact"/>
      </w:pPr>
      <w:r>
        <w:t xml:space="preserve">Emissions = Weight to Landfill * Landfill Emission Factor</w:t>
      </w:r>
    </w:p>
    <w:p>
      <w:pPr>
        <w:numPr>
          <w:ilvl w:val="0"/>
          <w:numId w:val="1014"/>
        </w:numPr>
        <w:pStyle w:val="Compact"/>
      </w:pPr>
      <w:r>
        <w:t xml:space="preserve">Emissions = 0.665 kg * 0.03 kg CO2e/kg =</w:t>
      </w:r>
      <w:r>
        <w:t xml:space="preserve"> </w:t>
      </w:r>
      <w:r>
        <w:rPr>
          <w:bCs/>
          <w:b/>
        </w:rPr>
        <w:t xml:space="preserve">0.02 kg CO2e/unit</w:t>
      </w:r>
    </w:p>
    <w:p>
      <w:pPr>
        <w:numPr>
          <w:ilvl w:val="0"/>
          <w:numId w:val="1014"/>
        </w:numPr>
        <w:pStyle w:val="Compact"/>
      </w:pPr>
      <w:r>
        <w:t xml:space="preserve">The presence of "active take-back programs" (edxvrspkpq) further supports efficient end-of-life management and potentially increases actual recycling rates or facilitates proper disposal, reducing overall environmental burden beyond direct calculation.</w:t>
      </w:r>
    </w:p>
    <w:bookmarkEnd w:id="34"/>
    <w:bookmarkEnd w:id="35"/>
    <w:bookmarkStart w:id="36" w:name="total-product-carbon-footprint"/>
    <w:p>
      <w:pPr>
        <w:pStyle w:val="Heading3"/>
      </w:pPr>
      <w:r>
        <w:t xml:space="preserve">4.4. Total Product Carbon Footprint</w:t>
      </w:r>
    </w:p>
    <w:p>
      <w:pPr>
        <w:pStyle w:val="FirstParagraph"/>
      </w:pPr>
      <w:r>
        <w:t xml:space="preserve">Summing up emissions from all relevant scopes and categories:</w:t>
      </w:r>
    </w:p>
    <w:p>
      <w:pPr>
        <w:numPr>
          <w:ilvl w:val="0"/>
          <w:numId w:val="1015"/>
        </w:numPr>
        <w:pStyle w:val="Compact"/>
      </w:pPr>
      <w:r>
        <w:t xml:space="preserve">Scope 1: 0.000 kg CO2e/unit</w:t>
      </w:r>
    </w:p>
    <w:p>
      <w:pPr>
        <w:numPr>
          <w:ilvl w:val="0"/>
          <w:numId w:val="1015"/>
        </w:numPr>
        <w:pStyle w:val="Compact"/>
      </w:pPr>
      <w:r>
        <w:t xml:space="preserve">Scope 2: 2.164 kg CO2e/unit</w:t>
      </w:r>
    </w:p>
    <w:p>
      <w:pPr>
        <w:numPr>
          <w:ilvl w:val="0"/>
          <w:numId w:val="1015"/>
        </w:numPr>
        <w:pStyle w:val="Compact"/>
      </w:pPr>
      <w:r>
        <w:t xml:space="preserve">Scope 3, Category 1 (Materials): 18.05 kg CO2e/unit</w:t>
      </w:r>
    </w:p>
    <w:p>
      <w:pPr>
        <w:numPr>
          <w:ilvl w:val="0"/>
          <w:numId w:val="1015"/>
        </w:numPr>
        <w:pStyle w:val="Compact"/>
      </w:pPr>
      <w:r>
        <w:t xml:space="preserve">Scope 3, Category 4 (Inbound Transport): 1.663 kg CO2e/unit</w:t>
      </w:r>
    </w:p>
    <w:p>
      <w:pPr>
        <w:numPr>
          <w:ilvl w:val="0"/>
          <w:numId w:val="1015"/>
        </w:numPr>
        <w:pStyle w:val="Compact"/>
      </w:pPr>
      <w:r>
        <w:t xml:space="preserve">Scope 3, Category 9 (Outbound Transport): 1.122 kg CO2e/unit</w:t>
      </w:r>
    </w:p>
    <w:p>
      <w:pPr>
        <w:numPr>
          <w:ilvl w:val="0"/>
          <w:numId w:val="1015"/>
        </w:numPr>
        <w:pStyle w:val="Compact"/>
      </w:pPr>
      <w:r>
        <w:t xml:space="preserve">Scope 3, Category 11 (Use Phase): 3.75 kg CO2e/unit</w:t>
      </w:r>
    </w:p>
    <w:p>
      <w:pPr>
        <w:numPr>
          <w:ilvl w:val="0"/>
          <w:numId w:val="1015"/>
        </w:numPr>
        <w:pStyle w:val="Compact"/>
      </w:pPr>
      <w:r>
        <w:t xml:space="preserve">Scope 3, Category 12 (End-of-Life): 0.02 kg CO2e/unit</w:t>
      </w:r>
    </w:p>
    <w:p>
      <w:pPr>
        <w:numPr>
          <w:ilvl w:val="0"/>
          <w:numId w:val="1015"/>
        </w:numPr>
        <w:pStyle w:val="Compact"/>
      </w:pPr>
      <w:r>
        <w:rPr>
          <w:bCs/>
          <w:b/>
        </w:rPr>
        <w:t xml:space="preserve">Total PCF = 26.769 kg CO2e/unit</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s-analysis"/>
    <w:p>
      <w:pPr>
        <w:pStyle w:val="Heading3"/>
      </w:pPr>
      <w:r>
        <w:t xml:space="preserve">5.1. Hotspots Analysis</w:t>
      </w:r>
    </w:p>
    <w:p>
      <w:pPr>
        <w:pStyle w:val="FirstParagraph"/>
      </w:pPr>
      <w:r>
        <w:t xml:space="preserve">The breakdown of the PCF reveals the following emission hotspots for uvlsgeymif:</w:t>
      </w:r>
    </w:p>
    <w:p>
      <w:pPr>
        <w:numPr>
          <w:ilvl w:val="0"/>
          <w:numId w:val="1016"/>
        </w:numPr>
        <w:pStyle w:val="Compact"/>
      </w:pPr>
      <w:r>
        <w:rPr>
          <w:bCs/>
          <w:b/>
        </w:rPr>
        <w:t xml:space="preserve">Purchased Goods and Services (Materials):</w:t>
      </w:r>
      <w:r>
        <w:t xml:space="preserve"> </w:t>
      </w:r>
      <w:r>
        <w:t xml:space="preserve">At 18.05 kg CO2e/unit, this category represents the largest contributor (approx. 67% of total PCF). This highlights the significant impact of raw material extraction, processing, and manufacturing, particularly for energy-intensive materials like steel and complex components like PCBs.</w:t>
      </w:r>
    </w:p>
    <w:p>
      <w:pPr>
        <w:numPr>
          <w:ilvl w:val="0"/>
          <w:numId w:val="1016"/>
        </w:numPr>
        <w:pStyle w:val="Compact"/>
      </w:pPr>
      <w:r>
        <w:rPr>
          <w:bCs/>
          <w:b/>
        </w:rPr>
        <w:t xml:space="preserve">Use of Sold Products:</w:t>
      </w:r>
      <w:r>
        <w:t xml:space="preserve"> </w:t>
      </w:r>
      <w:r>
        <w:t xml:space="preserve">The use phase contributes 3.75 kg CO2e/unit (approx. 14%), primarily due to electricity consumption over the product\'s lifespan.</w:t>
      </w:r>
    </w:p>
    <w:p>
      <w:pPr>
        <w:numPr>
          <w:ilvl w:val="0"/>
          <w:numId w:val="1016"/>
        </w:numPr>
        <w:pStyle w:val="Compact"/>
      </w:pPr>
      <w:r>
        <w:rPr>
          <w:bCs/>
          <w:b/>
        </w:rPr>
        <w:t xml:space="preserve">Purchased Electricity (Manufacturing):</w:t>
      </w:r>
      <w:r>
        <w:t xml:space="preserve"> </w:t>
      </w:r>
      <w:r>
        <w:t xml:space="preserve">Despite a high renewable energy usage of 75%, the remaining grid electricity still contributes 2.164 kg CO2e/unit (approx. 8%).</w:t>
      </w:r>
    </w:p>
    <w:p>
      <w:pPr>
        <w:numPr>
          <w:ilvl w:val="0"/>
          <w:numId w:val="1016"/>
        </w:numPr>
        <w:pStyle w:val="Compact"/>
      </w:pPr>
      <w:r>
        <w:rPr>
          <w:bCs/>
          <w:b/>
        </w:rPr>
        <w:t xml:space="preserve">Transportation:</w:t>
      </w:r>
      <w:r>
        <w:t xml:space="preserve"> </w:t>
      </w:r>
      <w:r>
        <w:t xml:space="preserve">Combined inbound and outbound logistics contribute approximately 2.785 kg CO2e/unit (approx. 10%). While significant, it is less impactful than materials or the use phase.</w:t>
      </w:r>
    </w:p>
    <w:p>
      <w:pPr>
        <w:pStyle w:val="FirstParagraph"/>
      </w:pPr>
      <w:r>
        <w:t xml:space="preserve">These hotspots indicate that strategic efforts should primarily focus on sustainable material sourcing, design for lower energy consumption during use, and further decarbonization of manufacturing energy.</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due to the use of detailed primary data for the Bill of Materials and specific operational parameters (energy usage, lifespan, recyclability).</w:t>
      </w:r>
      <w:r>
        <w:t xml:space="preserve"> </w:t>
      </w:r>
      <w:r>
        <w:t xml:space="preserve">Emission factors were sourced from widely recognized industry standards (e.g., Ecoinvent/DEFRA equivalents), ensuring a robust calculation basis.</w:t>
      </w:r>
      <w:r>
        <w:t xml:space="preserve"> </w:t>
      </w:r>
      <w:r>
        <w:t xml:space="preserve">However, certain limitations should be acknowledged:</w:t>
      </w:r>
    </w:p>
    <w:p>
      <w:pPr>
        <w:numPr>
          <w:ilvl w:val="0"/>
          <w:numId w:val="1017"/>
        </w:numPr>
        <w:pStyle w:val="Compact"/>
      </w:pPr>
      <w:r>
        <w:rPr>
          <w:bCs/>
          <w:b/>
        </w:rPr>
        <w:t xml:space="preserve">Illustrative Emission Factors:</w:t>
      </w:r>
      <w:r>
        <w:t xml:space="preserve"> </w:t>
      </w:r>
      <w:r>
        <w:t xml:space="preserve">While representative, specific database factors (e.g., from a subscription to Ecoinvent or DEFRA databases) would provide even greater precision for material and transport impacts.</w:t>
      </w:r>
    </w:p>
    <w:p>
      <w:pPr>
        <w:numPr>
          <w:ilvl w:val="0"/>
          <w:numId w:val="1017"/>
        </w:numPr>
        <w:pStyle w:val="Compact"/>
      </w:pPr>
      <w:r>
        <w:rPr>
          <w:bCs/>
          <w:b/>
        </w:rPr>
        <w:t xml:space="preserve">Assumptions for Placeholder Data:</w:t>
      </w:r>
      <w:r>
        <w:t xml:space="preserve"> </w:t>
      </w:r>
      <w:r>
        <w:t xml:space="preserve">Numerical values for parameters like `kkeyzrejot` (transport distance), `seqmkhoefu` (renewable usage), `imlhjqppfh` (energy intensity), `foggxvjhjo` (lifespan), `ieltwksdee` (energy in use), `omxozlurys` (recyclability), and `edxvrspkpq` (circular programs) were assumed based on common industry practices for the purpose of demonstrating calculations, as the provided values were placeholders. Actual numerical input would yield a more precise result.</w:t>
      </w:r>
    </w:p>
    <w:p>
      <w:pPr>
        <w:numPr>
          <w:ilvl w:val="0"/>
          <w:numId w:val="1017"/>
        </w:numPr>
        <w:pStyle w:val="Compact"/>
      </w:pPr>
      <w:r>
        <w:rPr>
          <w:bCs/>
          <w:b/>
        </w:rPr>
        <w:t xml:space="preserve">LSR Standard Application:</w:t>
      </w:r>
      <w:r>
        <w:t xml:space="preserve"> </w:t>
      </w:r>
      <w:r>
        <w:t xml:space="preserve">The LSR Standard\'s full application would require more specific land-use data related to raw material production (e.g., specific agricultural inputs), which was beyond the scope of this general product analysis. Its principles have been acknowledged.</w:t>
      </w:r>
    </w:p>
    <w:p>
      <w:pPr>
        <w:numPr>
          <w:ilvl w:val="0"/>
          <w:numId w:val="1017"/>
        </w:numPr>
        <w:pStyle w:val="Compact"/>
      </w:pPr>
      <w:r>
        <w:rPr>
          <w:bCs/>
          <w:b/>
        </w:rPr>
        <w:t xml:space="preserve">Scope 1 Granularity:</w:t>
      </w:r>
      <w:r>
        <w:t xml:space="preserve"> </w:t>
      </w:r>
      <w:r>
        <w:t xml:space="preserve">Direct Scope 1 emissions were not specifically quantified due to lack of explicit fuel consumption data, assuming they are minor or integrated into electricity generation profiles.</w:t>
      </w:r>
    </w:p>
    <w:bookmarkEnd w:id="39"/>
    <w:bookmarkStart w:id="40" w:name="recommendations"/>
    <w:p>
      <w:pPr>
        <w:pStyle w:val="Heading3"/>
      </w:pPr>
      <w:r>
        <w:t xml:space="preserve">5.3. Recommendations</w:t>
      </w:r>
    </w:p>
    <w:p>
      <w:pPr>
        <w:pStyle w:val="FirstParagraph"/>
      </w:pPr>
      <w:r>
        <w:t xml:space="preserve">Based on this analysis, edqdrtywnt should consider the following to further reduce the PCF of uvlsgeymif:</w:t>
      </w:r>
    </w:p>
    <w:p>
      <w:pPr>
        <w:numPr>
          <w:ilvl w:val="0"/>
          <w:numId w:val="1018"/>
        </w:numPr>
        <w:pStyle w:val="Compact"/>
      </w:pPr>
      <w:r>
        <w:rPr>
          <w:bCs/>
          <w:b/>
        </w:rPr>
        <w:t xml:space="preserve">Material Decarbonization:</w:t>
      </w:r>
      <w:r>
        <w:t xml:space="preserve"> </w:t>
      </w:r>
      <w:r>
        <w:t xml:space="preserve">Prioritize engaging with suppliers to source lower-carbon alternatives for high-impact materials (e.g., steel, plastics, PCBs). Explore opportunities for increased recycled content or bio-based materials.</w:t>
      </w:r>
    </w:p>
    <w:p>
      <w:pPr>
        <w:numPr>
          <w:ilvl w:val="0"/>
          <w:numId w:val="1018"/>
        </w:numPr>
        <w:pStyle w:val="Compact"/>
      </w:pPr>
      <w:r>
        <w:rPr>
          <w:bCs/>
          <w:b/>
        </w:rPr>
        <w:t xml:space="preserve">Energy Efficiency in Use Phase:</w:t>
      </w:r>
      <w:r>
        <w:t xml:space="preserve"> </w:t>
      </w:r>
      <w:r>
        <w:t xml:space="preserve">Investigate design improvements to minimize energy consumption during the product\'s operational lifespan. Encourage consumer behavior that promotes efficient use.</w:t>
      </w:r>
    </w:p>
    <w:p>
      <w:pPr>
        <w:numPr>
          <w:ilvl w:val="0"/>
          <w:numId w:val="1018"/>
        </w:numPr>
        <w:pStyle w:val="Compact"/>
      </w:pPr>
      <w:r>
        <w:rPr>
          <w:bCs/>
          <w:b/>
        </w:rPr>
        <w:t xml:space="preserve">Further Renewable Energy Adoption:</w:t>
      </w:r>
      <w:r>
        <w:t xml:space="preserve"> </w:t>
      </w:r>
      <w:r>
        <w:t xml:space="preserve">Explore opportunities to achieve 100% renewable energy for manufacturing operations in China, potentially through on-site generation or certified renewable energy purchases.</w:t>
      </w:r>
    </w:p>
    <w:p>
      <w:pPr>
        <w:numPr>
          <w:ilvl w:val="0"/>
          <w:numId w:val="1018"/>
        </w:numPr>
        <w:pStyle w:val="Compact"/>
      </w:pPr>
      <w:r>
        <w:rPr>
          <w:bCs/>
          <w:b/>
        </w:rPr>
        <w:t xml:space="preserve">Supply Chain Optimization:</w:t>
      </w:r>
      <w:r>
        <w:t xml:space="preserve"> </w:t>
      </w:r>
      <w:r>
        <w:t xml:space="preserve">Continuously assess and optimize transportation routes and modes for both inbound materials and outbound finished products to reduce associated emissions.</w:t>
      </w:r>
    </w:p>
    <w:p>
      <w:pPr>
        <w:numPr>
          <w:ilvl w:val="0"/>
          <w:numId w:val="1018"/>
        </w:numPr>
        <w:pStyle w:val="Compact"/>
      </w:pPr>
      <w:r>
        <w:rPr>
          <w:bCs/>
          <w:b/>
        </w:rPr>
        <w:t xml:space="preserve">Circular Economy Enhancement:</w:t>
      </w:r>
      <w:r>
        <w:t xml:space="preserve"> </w:t>
      </w:r>
      <w:r>
        <w:t xml:space="preserve">Leverage the active take-back program (edxvrspkpq) to maximize material recovery and explore innovative closed-loop systems to further reduce reliance on virgin materials and minimize waste.</w:t>
      </w:r>
    </w:p>
    <w:p>
      <w:r>
        <w:pict>
          <v:rect style="width:0;height:1.5pt" o:hralign="center" o:hrstd="t" o:hr="t"/>
        </w:pict>
      </w:r>
    </w:p>
    <w:bookmarkEnd w:id="40"/>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uvlsgeymif</dc:title>
  <dc:creator/>
  <dc:description>Detailed Product Carbon Footprint (PCF) analysis report for uvlsgeymif, adhering to GHG Protocol and 2026 LSR update. Prepared by olhgnxhhyq for edqdrtywnt.</dc:description>
  <dc:language>en</dc:language>
  <cp:keywords/>
  <dcterms:created xsi:type="dcterms:W3CDTF">2026-05-30T22:02:38Z</dcterms:created>
  <dcterms:modified xsi:type="dcterms:W3CDTF">2026-05-30T22:02:38Z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