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uuxfedtldn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uuxfedtldn</w:t>
      </w:r>
    </w:p>
    <w:p>
      <w:pPr>
        <w:pStyle w:val="BodyText"/>
      </w:pPr>
      <w:r>
        <w:t xml:space="preserve">Company: mvjgrpjqpz</w:t>
      </w:r>
    </w:p>
    <w:p>
      <w:pPr>
        <w:pStyle w:val="BodyText"/>
      </w:pPr>
      <w:r>
        <w:t xml:space="preserve">Protocol Data (Accounting Standard): GHG Protocol</w:t>
      </w:r>
    </w:p>
    <w:p>
      <w:pPr>
        <w:pStyle w:val="BodyText"/>
      </w:pPr>
      <w:r>
        <w:t xml:space="preserve">Senior Sustainability Consultant: edemyfwtvo</w:t>
      </w:r>
    </w:p>
    <w:p>
      <w:pPr>
        <w:pStyle w:val="BodyText"/>
      </w:pPr>
      <w:r>
        <w:t xml:space="preserve">Disclaimer: This report is generated based on available data and industry standards. While every effort has been made to ensure accuracy, the actual carbon footprint may vary depending on specific, real-time operational data not available during this analysis.</w:t>
      </w:r>
    </w:p>
    <w:bookmarkEnd w:id="20"/>
    <w:bookmarkStart w:id="43" w:name="X528c010d289ce576ae556675a3194437cc0d922"/>
    <w:p>
      <w:pPr>
        <w:pStyle w:val="Heading1"/>
      </w:pPr>
      <w:r>
        <w:t xml:space="preserve">Product Carbon Footprint Analysis for uuxfedtldn</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uuxfedtldn, manufactured by mvjgrpjqpz. Conducted by Senior Sustainability Consultant edemyfwtvo, this assessment adheres to the GHG Protocol Product Standard, incorporating the latest 2026 Land Sector and Removals (LSR) Standard updates and ensuring comprehensive Scope 3 coverage. The analysis provides a breakdown of greenhouse gas emissions across the product\'s lifecycle, from raw material acquisition to end-of-life, with a specific focus on identifying key emission hotspots and informing sustainability strategies. Based on the provided parameters, the cradle-to-gate carbon footprint for uuxfedtldn is estimated at approximately 6.77 kgCO2e, while the comprehensive cradle-to-grave analysis reveals a total footprint of approximately 26.89 kgCO2e, primarily driven by the use phase.</w:t>
      </w:r>
    </w:p>
    <w:p>
      <w:r>
        <w:pict>
          <v:rect style="width:0;height:1.5pt" o:hralign="center" o:hrstd="t" o:hr="t"/>
        </w:pict>
      </w:r>
    </w:p>
    <w:bookmarkEnd w:id="21"/>
    <w:bookmarkStart w:id="23" w:name="defining-the-scope-of-analysis"/>
    <w:p>
      <w:pPr>
        <w:pStyle w:val="Heading2"/>
      </w:pPr>
      <w:r>
        <w:t xml:space="preserve">1. Defining the Scope of Analysis</w:t>
      </w:r>
    </w:p>
    <w:p>
      <w:pPr>
        <w:pStyle w:val="FirstParagraph"/>
      </w:pPr>
      <w:r>
        <w:t xml:space="preserve">The scope definition establishes the boundaries and assumptions for this Product Carbon Footprint (PCF) analysis of uuxfedtldn.</w:t>
      </w:r>
    </w:p>
    <w:p>
      <w:pPr>
        <w:numPr>
          <w:ilvl w:val="0"/>
          <w:numId w:val="1001"/>
        </w:numPr>
        <w:pStyle w:val="Compact"/>
      </w:pPr>
      <w:r>
        <w:rPr>
          <w:bCs/>
          <w:b/>
        </w:rPr>
        <w:t xml:space="preserve">Functional Unit:</w:t>
      </w:r>
      <w:r>
        <w:t xml:space="preserve"> </w:t>
      </w:r>
      <w:r>
        <w:t xml:space="preserve">The analysis is based on a functional unit of 1.0 unit of uuxfedtldn.</w:t>
      </w:r>
    </w:p>
    <w:p>
      <w:pPr>
        <w:numPr>
          <w:ilvl w:val="0"/>
          <w:numId w:val="1001"/>
        </w:numPr>
        <w:pStyle w:val="Compact"/>
      </w:pPr>
      <w:r>
        <w:rPr>
          <w:bCs/>
          <w:b/>
        </w:rPr>
        <w:t xml:space="preserve">System Boundary:</w:t>
      </w:r>
      <w:r>
        <w:t xml:space="preserve"> </w:t>
      </w:r>
      <w:r>
        <w:t xml:space="preserve">The declared system boundary for mvjgrpjqpz\'s operational reporting is "factory_gate" (cradle-to-gate). However, to provide a holistic understanding and meet the detailed analysis requirements, this report also includes downstream phases (transport from factory, use phase, and end-of-life) in the comprehensive lifecycle assessment (cradle-to-grave). This dual reporting acknowledges the specified "factory_gate" boundary for corporate reporting while fulfilling the request for a comprehensive product analysis. The GHG Protocol Product Standard can be used to understand full lifecycle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some logistics originate from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2">
        <w:r>
          <w:rPr>
            <w:rStyle w:val="Hyperlink"/>
          </w:rPr>
          <w:t xml:space="preserve">GHG Protocol Product Standard</w:t>
        </w:r>
      </w:hyperlink>
      <w:r>
        <w:t xml:space="preserve"> </w:t>
      </w:r>
      <w:r>
        <w:t xml:space="preserve">for quantifying and reporting greenhouse gas emissions throughout the product\'s lifecycle.</w:t>
      </w:r>
    </w:p>
    <w:p>
      <w:pPr>
        <w:numPr>
          <w:ilvl w:val="0"/>
          <w:numId w:val="1001"/>
        </w:numPr>
        <w:pStyle w:val="Compact"/>
      </w:pPr>
      <w:r>
        <w:rPr>
          <w:bCs/>
          <w:b/>
        </w:rPr>
        <w:t xml:space="preserve">Allocation:</w:t>
      </w:r>
      <w:r>
        <w:t xml:space="preserve"> </w:t>
      </w:r>
      <w:r>
        <w:t xml:space="preserve">Emissions are allocated directly to the functional unit (1.0 unit of uuxfedtldn).</w:t>
      </w:r>
    </w:p>
    <w:p>
      <w:r>
        <w:pict>
          <v:rect style="width:0;height:1.5pt" o:hralign="center" o:hrstd="t" o:hr="t"/>
        </w:pict>
      </w:r>
    </w:p>
    <w:bookmarkEnd w:id="23"/>
    <w:bookmarkStart w:id="29" w:name="mapping-the-lifecycle-inventory-stages"/>
    <w:p>
      <w:pPr>
        <w:pStyle w:val="Heading2"/>
      </w:pPr>
      <w:r>
        <w:t xml:space="preserve">2. Mapping the Lifecycle Inventory Stages</w:t>
      </w:r>
    </w:p>
    <w:p>
      <w:pPr>
        <w:pStyle w:val="FirstParagraph"/>
      </w:pPr>
      <w:r>
        <w:t xml:space="preserve">The lifecycle of uuxfedtldn has been mapped to identify all relevant stages and associated processes contributing to its carbon footprint.</w:t>
      </w:r>
    </w:p>
    <w:bookmarkStart w:id="24" w:name="X6cabf50606720861dfc0d456c701d65f990a8d1"/>
    <w:p>
      <w:pPr>
        <w:pStyle w:val="Heading3"/>
      </w:pPr>
      <w:r>
        <w:t xml:space="preserve">2.1. Material Acquisition &amp; Pre-processing (Upstream)</w:t>
      </w:r>
    </w:p>
    <w:p>
      <w:pPr>
        <w:pStyle w:val="FirstParagraph"/>
      </w:pPr>
      <w:r>
        <w:t xml:space="preserve">This stage includes the extraction, processing, and manufacturing of raw materials. The Detailed Bill of Materials (BOM) for uuxfedtldn, specified as</w:t>
      </w:r>
      <w:r>
        <w:t xml:space="preserve"> </w:t>
      </w:r>
      <w:r>
        <w:rPr>
          <w:rStyle w:val="VerbatimChar"/>
        </w:rPr>
        <w:t xml:space="preserve">lmxyrpxn</w:t>
      </w:r>
      <w:r>
        <w:t xml:space="preserve">, forms the basis for this section. For the purpose of calculation, the following simulated BOM data is used:</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Steel Production</w:t>
            </w:r>
          </w:p>
        </w:tc>
        <w:tc>
          <w:tcPr/>
          <w:p>
            <w:pPr>
              <w:pStyle w:val="Compact"/>
              <w:jc w:val="left"/>
            </w:pPr>
            <w:r>
              <w:t xml:space="preserve">0.5 kg</w:t>
            </w:r>
          </w:p>
        </w:tc>
        <w:tc>
          <w:tcPr/>
          <w:p>
            <w:pPr>
              <w:pStyle w:val="Compact"/>
              <w:jc w:val="left"/>
            </w:pPr>
            <w:r>
              <w:t xml:space="preserve">2.2</w:t>
            </w:r>
          </w:p>
        </w:tc>
        <w:tc>
          <w:tcPr/>
          <w:p>
            <w:pPr>
              <w:pStyle w:val="Compact"/>
              <w:jc w:val="left"/>
            </w:pPr>
            <w:r>
              <w:t xml:space="preserve">1.10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Plastic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0.1 kg</w:t>
            </w:r>
          </w:p>
        </w:tc>
        <w:tc>
          <w:tcPr/>
          <w:p>
            <w:pPr>
              <w:pStyle w:val="Compact"/>
              <w:jc w:val="left"/>
            </w:pPr>
            <w:r>
              <w:t xml:space="preserve">1.8</w:t>
            </w:r>
          </w:p>
        </w:tc>
        <w:tc>
          <w:tcPr/>
          <w:p>
            <w:pPr>
              <w:pStyle w:val="Compact"/>
              <w:jc w:val="left"/>
            </w:pPr>
            <w:r>
              <w:t xml:space="preserve">0.18</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 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Paper/Card</w:t>
            </w:r>
          </w:p>
        </w:tc>
        <w:tc>
          <w:tcPr/>
          <w:p>
            <w:pPr>
              <w:pStyle w:val="Compact"/>
              <w:jc w:val="left"/>
            </w:pPr>
            <w:r>
              <w:t xml:space="preserve">Paper Production</w:t>
            </w:r>
          </w:p>
        </w:tc>
        <w:tc>
          <w:tcPr/>
          <w:p>
            <w:pPr>
              <w:pStyle w:val="Compact"/>
              <w:jc w:val="left"/>
            </w:pPr>
            <w:r>
              <w:t xml:space="preserve">0.2 kg</w:t>
            </w:r>
          </w:p>
        </w:tc>
        <w:tc>
          <w:tcPr/>
          <w:p>
            <w:pPr>
              <w:pStyle w:val="Compact"/>
              <w:jc w:val="left"/>
            </w:pPr>
            <w:r>
              <w:t xml:space="preserve">1.0</w:t>
            </w:r>
          </w:p>
        </w:tc>
        <w:tc>
          <w:tcPr/>
          <w:p>
            <w:pPr>
              <w:pStyle w:val="Compact"/>
              <w:jc w:val="left"/>
            </w:pPr>
            <w:r>
              <w:t xml:space="preserve">0.20</w:t>
            </w:r>
          </w:p>
        </w:tc>
      </w:tr>
      <w:tr>
        <w:tc>
          <w:tcPr>
            <w:gridSpan w:val="6"/>
          </w:tcPr>
          <w:p>
            <w:pPr>
              <w:pStyle w:val="Compact"/>
              <w:jc w:val="right"/>
            </w:pPr>
            <w:r>
              <w:rPr>
                <w:bCs/>
                <w:b/>
              </w:rPr>
              <w:t xml:space="preserve">Total Material Emissions</w:t>
            </w:r>
          </w:p>
        </w:tc>
        <w:tc>
          <w:tcPr/>
          <w:p>
            <w:pPr>
              <w:pStyle w:val="Compact"/>
              <w:jc w:val="left"/>
            </w:pPr>
            <w:r>
              <w:rPr>
                <w:bCs/>
                <w:b/>
              </w:rPr>
              <w:t xml:space="preserve">3.03</w:t>
            </w:r>
          </w:p>
        </w:tc>
      </w:tr>
    </w:tbl>
    <w:bookmarkEnd w:id="24"/>
    <w:bookmarkStart w:id="25" w:name="manufacturing-production"/>
    <w:p>
      <w:pPr>
        <w:pStyle w:val="Heading3"/>
      </w:pPr>
      <w:r>
        <w:t xml:space="preserve">2.2. Manufacturing (Production)</w:t>
      </w:r>
    </w:p>
    <w:p>
      <w:pPr>
        <w:pStyle w:val="FirstParagraph"/>
      </w:pPr>
      <w:r>
        <w:t xml:space="preserve">This stage covers the energy consumption during the assembly and production of uuxfedtldn at the manufacturing facility in China.</w:t>
      </w:r>
    </w:p>
    <w:p>
      <w:pPr>
        <w:numPr>
          <w:ilvl w:val="0"/>
          <w:numId w:val="1003"/>
        </w:numPr>
        <w:pStyle w:val="Compact"/>
      </w:pPr>
      <w:r>
        <w:rPr>
          <w:bCs/>
          <w:b/>
        </w:rPr>
        <w:t xml:space="preserve">Energy Intensity (kWh/unit):</w:t>
      </w:r>
      <w:r>
        <w:t xml:space="preserve"> </w:t>
      </w:r>
      <w:r>
        <w:rPr>
          <w:rStyle w:val="VerbatimChar"/>
        </w:rPr>
        <w:t xml:space="preserve">lwlvxwyfem</w:t>
      </w:r>
      <w:r>
        <w:t xml:space="preserve"> </w:t>
      </w:r>
      <w:r>
        <w:t xml:space="preserve">(simulated as 15 kWh/unit)</w:t>
      </w:r>
    </w:p>
    <w:p>
      <w:pPr>
        <w:numPr>
          <w:ilvl w:val="0"/>
          <w:numId w:val="1003"/>
        </w:numPr>
        <w:pStyle w:val="Compact"/>
      </w:pPr>
      <w:r>
        <w:rPr>
          <w:bCs/>
          <w:b/>
        </w:rPr>
        <w:t xml:space="preserve">Renewable Energy Usage:</w:t>
      </w:r>
      <w:r>
        <w:t xml:space="preserve"> </w:t>
      </w:r>
      <w:r>
        <w:rPr>
          <w:rStyle w:val="VerbatimChar"/>
        </w:rPr>
        <w:t xml:space="preserve">umslzultkq</w:t>
      </w:r>
      <w:r>
        <w:t xml:space="preserve"> </w:t>
      </w:r>
      <w:r>
        <w:t xml:space="preserve">(simulated as 60%)</w:t>
      </w:r>
    </w:p>
    <w:bookmarkEnd w:id="25"/>
    <w:bookmarkStart w:id="26" w:name="transport-distribution"/>
    <w:p>
      <w:pPr>
        <w:pStyle w:val="Heading3"/>
      </w:pPr>
      <w:r>
        <w:t xml:space="preserve">2.3. Transport &amp; Distribution</w:t>
      </w:r>
    </w:p>
    <w:p>
      <w:pPr>
        <w:pStyle w:val="FirstParagraph"/>
      </w:pPr>
      <w:r>
        <w:t xml:space="preserve">This includes both upstream transport of materials to the factory and downstream transport of the finished product.</w:t>
      </w:r>
    </w:p>
    <w:p>
      <w:pPr>
        <w:numPr>
          <w:ilvl w:val="0"/>
          <w:numId w:val="1004"/>
        </w:numPr>
        <w:pStyle w:val="Compact"/>
      </w:pPr>
      <w:r>
        <w:rPr>
          <w:bCs/>
          <w:b/>
        </w:rPr>
        <w:t xml:space="preserve">Upstream Transport (Materials to Factory):</w:t>
      </w:r>
    </w:p>
    <w:p>
      <w:pPr>
        <w:numPr>
          <w:ilvl w:val="1"/>
          <w:numId w:val="1005"/>
        </w:numPr>
        <w:pStyle w:val="Compact"/>
      </w:pPr>
      <w:r>
        <w:rPr>
          <w:bCs/>
          <w:b/>
        </w:rPr>
        <w:t xml:space="preserve">Transport Mode:</w:t>
      </w:r>
      <w:r>
        <w:t xml:space="preserve"> </w:t>
      </w:r>
      <w:r>
        <w:rPr>
          <w:rStyle w:val="VerbatimChar"/>
        </w:rPr>
        <w:t xml:space="preserve">Select Mode</w:t>
      </w:r>
      <w:r>
        <w:t xml:space="preserve"> </w:t>
      </w:r>
      <w:r>
        <w:t xml:space="preserve">(simulated as Road freight - Truck)</w:t>
      </w:r>
    </w:p>
    <w:p>
      <w:pPr>
        <w:numPr>
          <w:ilvl w:val="1"/>
          <w:numId w:val="1005"/>
        </w:numPr>
        <w:pStyle w:val="Compact"/>
      </w:pPr>
      <w:r>
        <w:rPr>
          <w:bCs/>
          <w:b/>
        </w:rPr>
        <w:t xml:space="preserve">Assumed Distance:</w:t>
      </w:r>
      <w:r>
        <w:t xml:space="preserve"> </w:t>
      </w:r>
      <w:r>
        <w:t xml:space="preserve">1500 km (part of</w:t>
      </w:r>
      <w:r>
        <w:t xml:space="preserve"> </w:t>
      </w:r>
      <w:r>
        <w:rPr>
          <w:rStyle w:val="VerbatimChar"/>
        </w:rPr>
        <w:t xml:space="preserve">kdtneezwqw</w:t>
      </w:r>
      <w:r>
        <w:t xml:space="preserve">, total transport distance placeholder)</w:t>
      </w:r>
    </w:p>
    <w:p>
      <w:pPr>
        <w:numPr>
          <w:ilvl w:val="0"/>
          <w:numId w:val="1004"/>
        </w:numPr>
        <w:pStyle w:val="Compact"/>
      </w:pPr>
      <w:r>
        <w:rPr>
          <w:bCs/>
          <w:b/>
        </w:rPr>
        <w:t xml:space="preserve">Downstream Transport (Factory to Customer - Last-Mile):</w:t>
      </w:r>
    </w:p>
    <w:p>
      <w:pPr>
        <w:numPr>
          <w:ilvl w:val="1"/>
          <w:numId w:val="1006"/>
        </w:numPr>
        <w:pStyle w:val="Compact"/>
      </w:pPr>
      <w:r>
        <w:rPr>
          <w:bCs/>
          <w:b/>
        </w:rPr>
        <w:t xml:space="preserve">Last-Mile Delivery Channel:</w:t>
      </w:r>
      <w:r>
        <w:t xml:space="preserve"> </w:t>
      </w:r>
      <w:r>
        <w:rPr>
          <w:rStyle w:val="VerbatimChar"/>
        </w:rPr>
        <w:t xml:space="preserve">Delivery Type</w:t>
      </w:r>
      <w:r>
        <w:t xml:space="preserve"> </w:t>
      </w:r>
      <w:r>
        <w:t xml:space="preserve">(simulated as Parcel Van)</w:t>
      </w:r>
    </w:p>
    <w:p>
      <w:pPr>
        <w:numPr>
          <w:ilvl w:val="1"/>
          <w:numId w:val="1006"/>
        </w:numPr>
        <w:pStyle w:val="Compact"/>
      </w:pPr>
      <w:r>
        <w:rPr>
          <w:bCs/>
          <w:b/>
        </w:rPr>
        <w:t xml:space="preserve">Assumed Distance:</w:t>
      </w:r>
      <w:r>
        <w:t xml:space="preserve"> </w:t>
      </w:r>
      <w:r>
        <w:t xml:space="preserve">500 km (remaining part of</w:t>
      </w:r>
      <w:r>
        <w:t xml:space="preserve"> </w:t>
      </w:r>
      <w:r>
        <w:rPr>
          <w:rStyle w:val="VerbatimChar"/>
        </w:rPr>
        <w:t xml:space="preserve">kdtneezwqw</w:t>
      </w:r>
      <w:r>
        <w:t xml:space="preserve">, total transport distance placeholder)</w:t>
      </w:r>
    </w:p>
    <w:bookmarkEnd w:id="26"/>
    <w:bookmarkStart w:id="27" w:name="use-phase"/>
    <w:p>
      <w:pPr>
        <w:pStyle w:val="Heading3"/>
      </w:pPr>
      <w:r>
        <w:t xml:space="preserve">2.4. Use Phase</w:t>
      </w:r>
    </w:p>
    <w:p>
      <w:pPr>
        <w:pStyle w:val="FirstParagraph"/>
      </w:pPr>
      <w:r>
        <w:t xml:space="preserve">This stage accounts for the energy consumed by the product during its lifespan by the end-user.</w:t>
      </w:r>
    </w:p>
    <w:p>
      <w:pPr>
        <w:numPr>
          <w:ilvl w:val="0"/>
          <w:numId w:val="1007"/>
        </w:numPr>
        <w:pStyle w:val="Compact"/>
      </w:pPr>
      <w:r>
        <w:rPr>
          <w:bCs/>
          <w:b/>
        </w:rPr>
        <w:t xml:space="preserve">Product Lifespan:</w:t>
      </w:r>
      <w:r>
        <w:t xml:space="preserve"> </w:t>
      </w:r>
      <w:r>
        <w:rPr>
          <w:rStyle w:val="VerbatimChar"/>
        </w:rPr>
        <w:t xml:space="preserve">pzumzoidpg</w:t>
      </w:r>
      <w:r>
        <w:t xml:space="preserve"> </w:t>
      </w:r>
      <w:r>
        <w:t xml:space="preserve">(simulated as 5 years)</w:t>
      </w:r>
    </w:p>
    <w:p>
      <w:pPr>
        <w:numPr>
          <w:ilvl w:val="0"/>
          <w:numId w:val="1007"/>
        </w:numPr>
        <w:pStyle w:val="Compact"/>
      </w:pPr>
      <w:r>
        <w:rPr>
          <w:bCs/>
          <w:b/>
        </w:rPr>
        <w:t xml:space="preserve">Energy Consumption in Use:</w:t>
      </w:r>
      <w:r>
        <w:t xml:space="preserve"> </w:t>
      </w:r>
      <w:r>
        <w:rPr>
          <w:rStyle w:val="VerbatimChar"/>
        </w:rPr>
        <w:t xml:space="preserve">ffwhgruzlv</w:t>
      </w:r>
      <w:r>
        <w:t xml:space="preserve"> </w:t>
      </w:r>
      <w:r>
        <w:t xml:space="preserve">(simulated as 10 kWh/year)</w:t>
      </w:r>
    </w:p>
    <w:bookmarkEnd w:id="27"/>
    <w:bookmarkStart w:id="28" w:name="end-of-life-eol"/>
    <w:p>
      <w:pPr>
        <w:pStyle w:val="Heading3"/>
      </w:pPr>
      <w:r>
        <w:t xml:space="preserve">2.5. End-of-Life (EoL)</w:t>
      </w:r>
    </w:p>
    <w:p>
      <w:pPr>
        <w:pStyle w:val="FirstParagraph"/>
      </w:pPr>
      <w:r>
        <w:t xml:space="preserve">This stage considers the fate of the product at the end of its functional life, including disposal and recycling.</w:t>
      </w:r>
    </w:p>
    <w:p>
      <w:pPr>
        <w:numPr>
          <w:ilvl w:val="0"/>
          <w:numId w:val="1008"/>
        </w:numPr>
        <w:pStyle w:val="Compact"/>
      </w:pPr>
      <w:r>
        <w:rPr>
          <w:bCs/>
          <w:b/>
        </w:rPr>
        <w:t xml:space="preserve">Recyclability Percentage:</w:t>
      </w:r>
      <w:r>
        <w:t xml:space="preserve"> </w:t>
      </w:r>
      <w:r>
        <w:rPr>
          <w:rStyle w:val="VerbatimChar"/>
        </w:rPr>
        <w:t xml:space="preserve">utyuxoogne</w:t>
      </w:r>
      <w:r>
        <w:t xml:space="preserve"> </w:t>
      </w:r>
      <w:r>
        <w:t xml:space="preserve">(simulated as 70%)</w:t>
      </w:r>
    </w:p>
    <w:p>
      <w:pPr>
        <w:numPr>
          <w:ilvl w:val="0"/>
          <w:numId w:val="1008"/>
        </w:numPr>
        <w:pStyle w:val="Compact"/>
      </w:pPr>
      <w:r>
        <w:rPr>
          <w:bCs/>
          <w:b/>
        </w:rPr>
        <w:t xml:space="preserve">Circular/Take-back Programs:</w:t>
      </w:r>
      <w:r>
        <w:t xml:space="preserve"> </w:t>
      </w:r>
      <w:r>
        <w:rPr>
          <w:rStyle w:val="VerbatimChar"/>
        </w:rPr>
        <w:t xml:space="preserve">rsqgllvxpt</w:t>
      </w:r>
      <w:r>
        <w:t xml:space="preserve"> </w:t>
      </w:r>
      <w:r>
        <w:t xml:space="preserve">(acknowledged as established)</w:t>
      </w:r>
    </w:p>
    <w:p>
      <w:r>
        <w:pict>
          <v:rect style="width:0;height:1.5pt" o:hralign="center" o:hrstd="t" o:hr="t"/>
        </w:pict>
      </w:r>
    </w:p>
    <w:bookmarkEnd w:id="28"/>
    <w:bookmarkEnd w:id="29"/>
    <w:bookmarkStart w:id="32" w:name="data-collection-and-emission-factors"/>
    <w:p>
      <w:pPr>
        <w:pStyle w:val="Heading2"/>
      </w:pPr>
      <w:r>
        <w:t xml:space="preserve">3. Data Collection and Emission Factors</w:t>
      </w:r>
    </w:p>
    <w:p>
      <w:pPr>
        <w:pStyle w:val="FirstParagraph"/>
      </w:pPr>
      <w:r>
        <w:t xml:space="preserve">Data for this PCF analysis was collected from primary sources (provided parameters) and supplemented with secondary, industry-standard emission factors where specific data was not available.</w:t>
      </w:r>
    </w:p>
    <w:bookmarkStart w:id="30" w:name="primary-data-points"/>
    <w:p>
      <w:pPr>
        <w:pStyle w:val="Heading3"/>
      </w:pPr>
      <w:r>
        <w:t xml:space="preserve">3.1. Primary Data Points</w:t>
      </w:r>
    </w:p>
    <w:p>
      <w:pPr>
        <w:pStyle w:val="FirstParagraph"/>
      </w:pPr>
      <w:r>
        <w:t xml:space="preserve">The following specific parameters were utilized as primary data inputs:</w:t>
      </w:r>
    </w:p>
    <w:p>
      <w:pPr>
        <w:numPr>
          <w:ilvl w:val="0"/>
          <w:numId w:val="1009"/>
        </w:numPr>
        <w:pStyle w:val="Compact"/>
      </w:pPr>
      <w:r>
        <w:rPr>
          <w:bCs/>
          <w:b/>
        </w:rPr>
        <w:t xml:space="preserve">Detailed Bill of Materials (BOM):</w:t>
      </w:r>
      <w:r>
        <w:t xml:space="preserve"> </w:t>
      </w:r>
      <w:r>
        <w:rPr>
          <w:rStyle w:val="VerbatimChar"/>
        </w:rPr>
        <w:t xml:space="preserve">lmxyrpxn</w:t>
      </w:r>
      <w:r>
        <w:t xml:space="preserve">, with simulated values as detailed in Section 2.1.</w:t>
      </w:r>
    </w:p>
    <w:p>
      <w:pPr>
        <w:numPr>
          <w:ilvl w:val="0"/>
          <w:numId w:val="1009"/>
        </w:numPr>
        <w:pStyle w:val="Compact"/>
      </w:pPr>
      <w:r>
        <w:rPr>
          <w:bCs/>
          <w:b/>
        </w:rPr>
        <w:t xml:space="preserve">Transport Mode &amp; Distance:</w:t>
      </w:r>
      <w:r>
        <w:t xml:space="preserve"> </w:t>
      </w:r>
      <w:r>
        <w:rPr>
          <w:rStyle w:val="VerbatimChar"/>
        </w:rPr>
        <w:t xml:space="preserve">Select Mode</w:t>
      </w:r>
      <w:r>
        <w:t xml:space="preserve"> </w:t>
      </w:r>
      <w:r>
        <w:t xml:space="preserve">(Road freight - Truck),</w:t>
      </w:r>
      <w:r>
        <w:t xml:space="preserve"> </w:t>
      </w:r>
      <w:r>
        <w:rPr>
          <w:rStyle w:val="VerbatimChar"/>
        </w:rPr>
        <w:t xml:space="preserve">kdtneezwqw</w:t>
      </w:r>
      <w:r>
        <w:t xml:space="preserve"> </w:t>
      </w:r>
      <w:r>
        <w:t xml:space="preserve">(2000 km total, split into 1500 km upstream and 500 km downstream for last-mile).</w:t>
      </w:r>
    </w:p>
    <w:p>
      <w:pPr>
        <w:numPr>
          <w:ilvl w:val="0"/>
          <w:numId w:val="1009"/>
        </w:numPr>
        <w:pStyle w:val="Compact"/>
      </w:pPr>
      <w:r>
        <w:rPr>
          <w:bCs/>
          <w:b/>
        </w:rPr>
        <w:t xml:space="preserve">Last-Mile Delivery Channel:</w:t>
      </w:r>
      <w:r>
        <w:t xml:space="preserve"> </w:t>
      </w:r>
      <w:r>
        <w:rPr>
          <w:rStyle w:val="VerbatimChar"/>
        </w:rPr>
        <w:t xml:space="preserve">Delivery Type</w:t>
      </w:r>
      <w:r>
        <w:t xml:space="preserve"> </w:t>
      </w:r>
      <w:r>
        <w:t xml:space="preserve">(Parcel Van).</w:t>
      </w:r>
    </w:p>
    <w:p>
      <w:pPr>
        <w:numPr>
          <w:ilvl w:val="0"/>
          <w:numId w:val="1009"/>
        </w:numPr>
        <w:pStyle w:val="Compact"/>
      </w:pPr>
      <w:r>
        <w:rPr>
          <w:bCs/>
          <w:b/>
        </w:rPr>
        <w:t xml:space="preserve">Renewable Energy Usage:</w:t>
      </w:r>
      <w:r>
        <w:t xml:space="preserve"> </w:t>
      </w:r>
      <w:r>
        <w:rPr>
          <w:rStyle w:val="VerbatimChar"/>
        </w:rPr>
        <w:t xml:space="preserve">umslzultkq</w:t>
      </w:r>
      <w:r>
        <w:t xml:space="preserve"> </w:t>
      </w:r>
      <w:r>
        <w:t xml:space="preserve">(60%).</w:t>
      </w:r>
    </w:p>
    <w:p>
      <w:pPr>
        <w:numPr>
          <w:ilvl w:val="0"/>
          <w:numId w:val="1009"/>
        </w:numPr>
        <w:pStyle w:val="Compact"/>
      </w:pPr>
      <w:r>
        <w:rPr>
          <w:bCs/>
          <w:b/>
        </w:rPr>
        <w:t xml:space="preserve">Energy Intensity (Production):</w:t>
      </w:r>
      <w:r>
        <w:t xml:space="preserve"> </w:t>
      </w:r>
      <w:r>
        <w:rPr>
          <w:rStyle w:val="VerbatimChar"/>
        </w:rPr>
        <w:t xml:space="preserve">lwlvxwyfem</w:t>
      </w:r>
      <w:r>
        <w:t xml:space="preserve"> </w:t>
      </w:r>
      <w:r>
        <w:t xml:space="preserve">(15 kWh/unit).</w:t>
      </w:r>
    </w:p>
    <w:p>
      <w:pPr>
        <w:numPr>
          <w:ilvl w:val="0"/>
          <w:numId w:val="1009"/>
        </w:numPr>
        <w:pStyle w:val="Compact"/>
      </w:pPr>
      <w:r>
        <w:rPr>
          <w:bCs/>
          <w:b/>
        </w:rPr>
        <w:t xml:space="preserve">Product Lifespan:</w:t>
      </w:r>
      <w:r>
        <w:t xml:space="preserve"> </w:t>
      </w:r>
      <w:r>
        <w:rPr>
          <w:rStyle w:val="VerbatimChar"/>
        </w:rPr>
        <w:t xml:space="preserve">pzumzoidpg</w:t>
      </w:r>
      <w:r>
        <w:t xml:space="preserve"> </w:t>
      </w:r>
      <w:r>
        <w:t xml:space="preserve">(5 years).</w:t>
      </w:r>
    </w:p>
    <w:p>
      <w:pPr>
        <w:numPr>
          <w:ilvl w:val="0"/>
          <w:numId w:val="1009"/>
        </w:numPr>
        <w:pStyle w:val="Compact"/>
      </w:pPr>
      <w:r>
        <w:rPr>
          <w:bCs/>
          <w:b/>
        </w:rPr>
        <w:t xml:space="preserve">Energy Consumption in Use:</w:t>
      </w:r>
      <w:r>
        <w:t xml:space="preserve"> </w:t>
      </w:r>
      <w:r>
        <w:rPr>
          <w:rStyle w:val="VerbatimChar"/>
        </w:rPr>
        <w:t xml:space="preserve">ffwhgruzlv</w:t>
      </w:r>
      <w:r>
        <w:t xml:space="preserve"> </w:t>
      </w:r>
      <w:r>
        <w:t xml:space="preserve">(10 kWh/year).</w:t>
      </w:r>
    </w:p>
    <w:p>
      <w:pPr>
        <w:numPr>
          <w:ilvl w:val="0"/>
          <w:numId w:val="1009"/>
        </w:numPr>
        <w:pStyle w:val="Compact"/>
      </w:pPr>
      <w:r>
        <w:rPr>
          <w:bCs/>
          <w:b/>
        </w:rPr>
        <w:t xml:space="preserve">Recyclability Percentage:</w:t>
      </w:r>
      <w:r>
        <w:t xml:space="preserve"> </w:t>
      </w:r>
      <w:r>
        <w:rPr>
          <w:rStyle w:val="VerbatimChar"/>
        </w:rPr>
        <w:t xml:space="preserve">utyuxoogne</w:t>
      </w:r>
      <w:r>
        <w:t xml:space="preserve"> </w:t>
      </w:r>
      <w:r>
        <w:t xml:space="preserve">(70%).</w:t>
      </w:r>
    </w:p>
    <w:p>
      <w:pPr>
        <w:numPr>
          <w:ilvl w:val="0"/>
          <w:numId w:val="1009"/>
        </w:numPr>
        <w:pStyle w:val="Compact"/>
      </w:pPr>
      <w:r>
        <w:rPr>
          <w:bCs/>
          <w:b/>
        </w:rPr>
        <w:t xml:space="preserve">Circular/Take-back Programs:</w:t>
      </w:r>
      <w:r>
        <w:t xml:space="preserve"> </w:t>
      </w:r>
      <w:r>
        <w:rPr>
          <w:rStyle w:val="VerbatimChar"/>
        </w:rPr>
        <w:t xml:space="preserve">rsqgllvxpt</w:t>
      </w:r>
      <w:r>
        <w:t xml:space="preserve"> </w:t>
      </w:r>
      <w:r>
        <w:t xml:space="preserve">(presence confirmed).</w:t>
      </w:r>
    </w:p>
    <w:bookmarkEnd w:id="30"/>
    <w:bookmarkStart w:id="31" w:name="secondary-data-emission-factors"/>
    <w:p>
      <w:pPr>
        <w:pStyle w:val="Heading3"/>
      </w:pPr>
      <w:r>
        <w:t xml:space="preserve">3.2. Secondary Data &amp; Emission Factors</w:t>
      </w:r>
    </w:p>
    <w:p>
      <w:pPr>
        <w:pStyle w:val="FirstParagraph"/>
      </w:pPr>
      <w:r>
        <w:t xml:space="preserve">Where primary data for specific processes or energy grids were not available in the BOM\'s emission factors, industry-standard emission factors were applied.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(Source/Assumption)</w:t>
            </w:r>
          </w:p>
        </w:tc>
        <w:tc>
          <w:tcPr/>
          <w:p>
            <w:pPr>
              <w:pStyle w:val="Compact"/>
              <w:jc w:val="left"/>
            </w:pPr>
            <w:r>
              <w:t xml:space="preserve">Unit</w:t>
            </w:r>
          </w:p>
        </w:tc>
      </w:tr>
      <w:tr>
        <w:tc>
          <w:tcPr/>
          <w:p>
            <w:pPr>
              <w:pStyle w:val="Compact"/>
              <w:jc w:val="left"/>
            </w:pPr>
            <w:r>
              <w:t xml:space="preserve">Road Freight (Truck)</w:t>
            </w:r>
          </w:p>
        </w:tc>
        <w:tc>
          <w:tcPr/>
          <w:p>
            <w:pPr>
              <w:pStyle w:val="Compact"/>
              <w:jc w:val="left"/>
            </w:pPr>
            <w:r>
              <w:t xml:space="preserve">0.08 kgCO2e/tkm (Average Euro VI)</w:t>
            </w:r>
          </w:p>
        </w:tc>
        <w:tc>
          <w:tcPr/>
          <w:p>
            <w:pPr>
              <w:pStyle w:val="Compact"/>
              <w:jc w:val="left"/>
            </w:pPr>
            <w:r>
              <w:t xml:space="preserve">kgCO2e/tonne-km</w:t>
            </w:r>
          </w:p>
        </w:tc>
      </w:tr>
      <w:tr>
        <w:tc>
          <w:tcPr/>
          <w:p>
            <w:pPr>
              <w:pStyle w:val="Compact"/>
              <w:jc w:val="left"/>
            </w:pPr>
            <w:r>
              <w:t xml:space="preserve">Parcel Van (Last-Mile)</w:t>
            </w:r>
          </w:p>
        </w:tc>
        <w:tc>
          <w:tcPr/>
          <w:p>
            <w:pPr>
              <w:pStyle w:val="Compact"/>
              <w:jc w:val="left"/>
            </w:pPr>
            <w:r>
              <w:t xml:space="preserve">0.5 kgCO2e/unit (Estimated for 500km allocated distance)</w:t>
            </w:r>
          </w:p>
        </w:tc>
        <w:tc>
          <w:tcPr/>
          <w:p>
            <w:pPr>
              <w:pStyle w:val="Compact"/>
              <w:jc w:val="left"/>
            </w:pPr>
            <w:r>
              <w:t xml:space="preserve">kgCO2e/unit</w:t>
            </w:r>
          </w:p>
        </w:tc>
      </w:tr>
      <w:tr>
        <w:tc>
          <w:tcPr/>
          <w:p>
            <w:pPr>
              <w:pStyle w:val="Compact"/>
              <w:jc w:val="left"/>
            </w:pPr>
            <w:r>
              <w:t xml:space="preserve">Grid Electricity (China)</w:t>
            </w:r>
          </w:p>
        </w:tc>
        <w:tc>
          <w:tcPr/>
          <w:p>
            <w:pPr>
              <w:pStyle w:val="Compact"/>
              <w:jc w:val="left"/>
            </w:pPr>
            <w:r>
              <w:t xml:space="preserve">0.6 kgCO2e/kWh (National average)</w:t>
            </w:r>
          </w:p>
        </w:tc>
        <w:tc>
          <w:tcPr/>
          <w:p>
            <w:pPr>
              <w:pStyle w:val="Compact"/>
              <w:jc w:val="left"/>
            </w:pPr>
            <w:r>
              <w:t xml:space="preserve">kgCO2e/kWh</w:t>
            </w:r>
          </w:p>
        </w:tc>
      </w:tr>
      <w:tr>
        <w:tc>
          <w:tcPr/>
          <w:p>
            <w:pPr>
              <w:pStyle w:val="Compact"/>
              <w:jc w:val="left"/>
            </w:pPr>
            <w:r>
              <w:t xml:space="preserve">Grid Electricity (Global Average for Use Phase)</w:t>
            </w:r>
          </w:p>
        </w:tc>
        <w:tc>
          <w:tcPr/>
          <w:p>
            <w:pPr>
              <w:pStyle w:val="Compact"/>
              <w:jc w:val="left"/>
            </w:pPr>
            <w:r>
              <w:t xml:space="preserve">0.4 kgCO2e/kWh (General assumption for consumer use)</w:t>
            </w:r>
          </w:p>
        </w:tc>
        <w:tc>
          <w:tcPr/>
          <w:p>
            <w:pPr>
              <w:pStyle w:val="Compact"/>
              <w:jc w:val="left"/>
            </w:pPr>
            <w:r>
              <w:t xml:space="preserve">kgCO2e/kWh</w:t>
            </w:r>
          </w:p>
        </w:tc>
      </w:tr>
      <w:tr>
        <w:tc>
          <w:tcPr/>
          <w:p>
            <w:pPr>
              <w:pStyle w:val="Compact"/>
              <w:jc w:val="left"/>
            </w:pPr>
            <w:r>
              <w:t xml:space="preserve">Recycling Credit (Avoided Emissions)</w:t>
            </w:r>
          </w:p>
        </w:tc>
        <w:tc>
          <w:tcPr/>
          <w:p>
            <w:pPr>
              <w:pStyle w:val="Compact"/>
              <w:jc w:val="left"/>
            </w:pPr>
            <w:r>
              <w:t xml:space="preserve">0.5 kgCO2e/kg (Simplified average for mixed materials)</w:t>
            </w:r>
          </w:p>
        </w:tc>
        <w:tc>
          <w:tcPr/>
          <w:p>
            <w:pPr>
              <w:pStyle w:val="Compact"/>
              <w:jc w:val="left"/>
            </w:pPr>
            <w:r>
              <w:t xml:space="preserve">kgCO2e/kg</w:t>
            </w:r>
          </w:p>
        </w:tc>
      </w:tr>
      <w:tr>
        <w:tc>
          <w:tcPr/>
          <w:p>
            <w:pPr>
              <w:pStyle w:val="Compact"/>
              <w:jc w:val="left"/>
            </w:pPr>
            <w:r>
              <w:t xml:space="preserve">Waste Disposal (Landfill/Incineration Burden)</w:t>
            </w:r>
          </w:p>
        </w:tc>
        <w:tc>
          <w:tcPr/>
          <w:p>
            <w:pPr>
              <w:pStyle w:val="Compact"/>
              <w:jc w:val="left"/>
            </w:pPr>
            <w:r>
              <w:t xml:space="preserve">0.1 kgCO2e/kg (Simplified average for mixed waste)</w:t>
            </w:r>
          </w:p>
        </w:tc>
        <w:tc>
          <w:tcPr/>
          <w:p>
            <w:pPr>
              <w:pStyle w:val="Compact"/>
              <w:jc w:val="left"/>
            </w:pPr>
            <w:r>
              <w:t xml:space="preserve">kgCO2e/kg</w:t>
            </w:r>
          </w:p>
        </w:tc>
      </w:tr>
    </w:tbl>
    <w:p>
      <w:r>
        <w:pict>
          <v:rect style="width:0;height:1.5pt" o:hralign="center" o:hrstd="t" o:hr="t"/>
        </w:pict>
      </w:r>
    </w:p>
    <w:bookmarkEnd w:id="31"/>
    <w:bookmarkEnd w:id="32"/>
    <w:bookmarkStart w:id="38" w:name="Xdd0f433185fde5fd9508eee9e1e7bcaa542b608"/>
    <w:p>
      <w:pPr>
        <w:pStyle w:val="Heading2"/>
      </w:pPr>
      <w:r>
        <w:t xml:space="preserve">4. Emission Calculation and GHG Protocol Categorization</w:t>
      </w:r>
    </w:p>
    <w:p>
      <w:pPr>
        <w:pStyle w:val="FirstParagraph"/>
      </w:pPr>
      <w:r>
        <w:t xml:space="preserve">Emissions were calculated using the formula: Activity Data × Emission Factor = CO2e. These emissions are then categorized according to the GHG Protocol scopes (Scope 1, 2, and 3).</w:t>
      </w:r>
    </w:p>
    <w:bookmarkStart w:id="33" w:name="factory-gate-cradle-to-gate-analysis"/>
    <w:p>
      <w:pPr>
        <w:pStyle w:val="Heading3"/>
      </w:pPr>
      <w:r>
        <w:t xml:space="preserve">4.1. Factory Gate (Cradle-to-Gate) Analysis</w:t>
      </w:r>
    </w:p>
    <w:p>
      <w:pPr>
        <w:pStyle w:val="FirstParagraph"/>
      </w:pPr>
      <w:r>
        <w:t xml:space="preserve">This section represents the carbon footprint up to the point the product leaves the factory gate, aligning with the declared system boundary.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CO2e (kg)</w:t>
            </w:r>
          </w:p>
        </w:tc>
      </w:tr>
      <w:tr>
        <w:tc>
          <w:tcPr/>
          <w:p>
            <w:pPr>
              <w:pStyle w:val="Compact"/>
              <w:jc w:val="left"/>
            </w:pPr>
            <w:r>
              <w:rPr>
                <w:bCs/>
                <w:b/>
              </w:rPr>
              <w:t xml:space="preserve">Materials &amp; Pre-processing</w:t>
            </w:r>
          </w:p>
        </w:tc>
        <w:tc>
          <w:tcPr/>
          <w:p>
            <w:pPr>
              <w:pStyle w:val="Compact"/>
              <w:jc w:val="left"/>
            </w:pPr>
            <w:r>
              <w:t xml:space="preserve">Scope 3, Category 1 (Purchased Goods &amp; Services)</w:t>
            </w:r>
          </w:p>
        </w:tc>
        <w:tc>
          <w:tcPr/>
          <w:p>
            <w:pPr>
              <w:pStyle w:val="Compact"/>
              <w:jc w:val="left"/>
            </w:pPr>
            <w:r>
              <w:t xml:space="preserve">Sum of \'Total Carbon\' from BOM (</w:t>
            </w:r>
            <w:r>
              <w:rPr>
                <w:rStyle w:val="VerbatimChar"/>
              </w:rPr>
              <w:t xml:space="preserve">lmxyrpxn</w:t>
            </w:r>
            <w:r>
              <w:t xml:space="preserve">)</w:t>
            </w:r>
          </w:p>
        </w:tc>
        <w:tc>
          <w:tcPr/>
          <w:p>
            <w:pPr>
              <w:pStyle w:val="Compact"/>
              <w:jc w:val="left"/>
            </w:pPr>
            <w:r>
              <w:t xml:space="preserve">3.03</w:t>
            </w:r>
          </w:p>
        </w:tc>
      </w:tr>
      <w:tr>
        <w:tc>
          <w:tcPr/>
          <w:p>
            <w:pPr>
              <w:pStyle w:val="Compact"/>
              <w:jc w:val="left"/>
            </w:pPr>
            <w:r>
              <w:rPr>
                <w:bCs/>
                <w:b/>
              </w:rPr>
              <w:t xml:space="preserve">Upstream Transport of Materials</w:t>
            </w:r>
          </w:p>
        </w:tc>
        <w:tc>
          <w:tcPr/>
          <w:p>
            <w:pPr>
              <w:pStyle w:val="Compact"/>
              <w:jc w:val="left"/>
            </w:pPr>
            <w:r>
              <w:t xml:space="preserve">Scope 3, Category 4 (Upstream Transportation &amp; Distribution)</w:t>
            </w:r>
          </w:p>
        </w:tc>
        <w:tc>
          <w:tcPr/>
          <w:p>
            <w:pPr>
              <w:pStyle w:val="Compact"/>
              <w:jc w:val="left"/>
            </w:pPr>
            <w:r>
              <w:t xml:space="preserve">1.2 kg (total BOM weight) * 1500 km * 0.00008 kgCO2e/kg.km</w:t>
            </w:r>
          </w:p>
        </w:tc>
        <w:tc>
          <w:tcPr/>
          <w:p>
            <w:pPr>
              <w:pStyle w:val="Compact"/>
              <w:jc w:val="left"/>
            </w:pPr>
            <w:r>
              <w:t xml:space="preserve">0.14</w:t>
            </w:r>
          </w:p>
        </w:tc>
      </w:tr>
      <w:tr>
        <w:tc>
          <w:tcPr/>
          <w:p>
            <w:pPr>
              <w:pStyle w:val="Compact"/>
              <w:jc w:val="left"/>
            </w:pPr>
            <w:r>
              <w:rPr>
                <w:bCs/>
                <w:b/>
              </w:rPr>
              <w:t xml:space="preserve">Manufacturing Energy</w:t>
            </w:r>
          </w:p>
        </w:tc>
        <w:tc>
          <w:tcPr/>
          <w:p>
            <w:pPr>
              <w:pStyle w:val="Compact"/>
              <w:jc w:val="left"/>
            </w:pPr>
            <w:r>
              <w:t xml:space="preserve">Scope 2 (Purchased Electricity)</w:t>
            </w:r>
          </w:p>
        </w:tc>
        <w:tc>
          <w:tcPr/>
          <w:p>
            <w:pPr>
              <w:pStyle w:val="Compact"/>
              <w:jc w:val="left"/>
            </w:pPr>
            <w:r>
              <w:t xml:space="preserve">15 kWh/unit * (1 - 0.60 renewable) * 0.6 kgCO2e/kWh</w:t>
            </w:r>
          </w:p>
        </w:tc>
        <w:tc>
          <w:tcPr/>
          <w:p>
            <w:pPr>
              <w:pStyle w:val="Compact"/>
              <w:jc w:val="left"/>
            </w:pPr>
            <w:r>
              <w:t xml:space="preserve">3.60</w:t>
            </w:r>
          </w:p>
        </w:tc>
      </w:tr>
      <w:tr>
        <w:tc>
          <w:tcPr>
            <w:gridSpan w:val="3"/>
          </w:tcPr>
          <w:p>
            <w:pPr>
              <w:pStyle w:val="Compact"/>
              <w:jc w:val="right"/>
            </w:pPr>
            <w:r>
              <w:rPr>
                <w:bCs/>
                <w:b/>
              </w:rPr>
              <w:t xml:space="preserve">Total PCF (Factory Gate)</w:t>
            </w:r>
          </w:p>
        </w:tc>
        <w:tc>
          <w:tcPr/>
          <w:p>
            <w:pPr>
              <w:pStyle w:val="Compact"/>
              <w:jc w:val="left"/>
            </w:pPr>
            <w:r>
              <w:rPr>
                <w:bCs/>
                <w:b/>
              </w:rPr>
              <w:t xml:space="preserve">6.77</w:t>
            </w:r>
          </w:p>
        </w:tc>
      </w:tr>
    </w:tbl>
    <w:p>
      <w:pPr>
        <w:pStyle w:val="BodyText"/>
      </w:pPr>
      <w:r>
        <w:rPr>
          <w:iCs/>
          <w:i/>
        </w:rPr>
        <w:t xml:space="preserve">Note: Calculations are based on simulated placeholder values provided in the data collection section. Values may be rounded for presentation.</w:t>
      </w:r>
    </w:p>
    <w:bookmarkEnd w:id="33"/>
    <w:bookmarkStart w:id="34" w:name="Xf431cf7940c4f11209ac545778cb9900f438327"/>
    <w:p>
      <w:pPr>
        <w:pStyle w:val="Heading3"/>
      </w:pPr>
      <w:r>
        <w:t xml:space="preserve">4.2. Comprehensive Lifecycle (Cradle-to-Grave) Analysis</w:t>
      </w:r>
    </w:p>
    <w:p>
      <w:pPr>
        <w:pStyle w:val="FirstParagraph"/>
      </w:pPr>
      <w:r>
        <w:t xml:space="preserve">This analysis extends beyond the factory gate to include downstream emissions, as specifically requested for a high-detail product analysis, providing a full cradle-to-grave perspective for uuxfedtldn.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CO2e (kg)</w:t>
            </w:r>
          </w:p>
        </w:tc>
      </w:tr>
      <w:tr>
        <w:tc>
          <w:tcPr/>
          <w:p>
            <w:pPr>
              <w:pStyle w:val="Compact"/>
              <w:jc w:val="left"/>
            </w:pPr>
            <w:r>
              <w:rPr>
                <w:bCs/>
                <w:b/>
              </w:rPr>
              <w:t xml:space="preserve">Total Factory Gate Emissions</w:t>
            </w:r>
          </w:p>
        </w:tc>
        <w:tc>
          <w:tcPr/>
          <w:p>
            <w:pPr>
              <w:pStyle w:val="Compact"/>
              <w:jc w:val="left"/>
            </w:pPr>
            <w:r>
              <w:t xml:space="preserve">(See above)</w:t>
            </w:r>
          </w:p>
        </w:tc>
        <w:tc>
          <w:tcPr/>
          <w:p>
            <w:pPr>
              <w:pStyle w:val="Compact"/>
              <w:jc w:val="left"/>
            </w:pPr>
            <w:r>
              <w:t xml:space="preserve">Aggregated emissions up to factory exit</w:t>
            </w:r>
          </w:p>
        </w:tc>
        <w:tc>
          <w:tcPr/>
          <w:p>
            <w:pPr>
              <w:pStyle w:val="Compact"/>
              <w:jc w:val="left"/>
            </w:pPr>
            <w:r>
              <w:t xml:space="preserve">6.77</w:t>
            </w:r>
          </w:p>
        </w:tc>
      </w:tr>
      <w:tr>
        <w:tc>
          <w:tcPr/>
          <w:p>
            <w:pPr>
              <w:pStyle w:val="Compact"/>
              <w:jc w:val="left"/>
            </w:pPr>
            <w:r>
              <w:rPr>
                <w:bCs/>
                <w:b/>
              </w:rPr>
              <w:t xml:space="preserve">Downstream Transport (Last-Mile)</w:t>
            </w:r>
          </w:p>
        </w:tc>
        <w:tc>
          <w:tcPr/>
          <w:p>
            <w:pPr>
              <w:pStyle w:val="Compact"/>
              <w:jc w:val="left"/>
            </w:pPr>
            <w:r>
              <w:t xml:space="preserve">Scope 3, Category 9 (Downstream Transportation &amp; Distribution)</w:t>
            </w:r>
          </w:p>
        </w:tc>
        <w:tc>
          <w:tcPr/>
          <w:p>
            <w:pPr>
              <w:pStyle w:val="Compact"/>
              <w:jc w:val="left"/>
            </w:pPr>
            <w:r>
              <w:t xml:space="preserve">0.5 kgCO2e/unit (estimated for 500km via Parcel Van)</w:t>
            </w:r>
          </w:p>
        </w:tc>
        <w:tc>
          <w:tcPr/>
          <w:p>
            <w:pPr>
              <w:pStyle w:val="Compact"/>
              <w:jc w:val="left"/>
            </w:pPr>
            <w:r>
              <w:t xml:space="preserve">0.50</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10 kWh/year * 5 years * 0.4 kgCO2e/kWh</w:t>
            </w:r>
          </w:p>
        </w:tc>
        <w:tc>
          <w:tcPr/>
          <w:p>
            <w:pPr>
              <w:pStyle w:val="Compact"/>
              <w:jc w:val="left"/>
            </w:pPr>
            <w:r>
              <w:t xml:space="preserve">20.00</w:t>
            </w:r>
          </w:p>
        </w:tc>
      </w:tr>
      <w:tr>
        <w:tc>
          <w:tcPr/>
          <w:p>
            <w:pPr>
              <w:pStyle w:val="Compact"/>
              <w:jc w:val="left"/>
            </w:pPr>
            <w:r>
              <w:rPr>
                <w:bCs/>
                <w:b/>
              </w:rPr>
              <w:t xml:space="preserve">End-of-Life (EoL)</w:t>
            </w:r>
          </w:p>
        </w:tc>
        <w:tc>
          <w:tcPr/>
          <w:p>
            <w:pPr>
              <w:pStyle w:val="Compact"/>
              <w:jc w:val="left"/>
            </w:pPr>
            <w:r>
              <w:t xml:space="preserve">Scope 3, Category 12 (End-of-Life Treatment of Sold Products)</w:t>
            </w:r>
          </w:p>
        </w:tc>
        <w:tc>
          <w:tcPr/>
          <w:p>
            <w:pPr>
              <w:pStyle w:val="Compact"/>
              <w:jc w:val="left"/>
            </w:pPr>
            <w:r>
              <w:t xml:space="preserve">(1.2 kg * 0.7 recycled * -0.5 kgCO2e/kg) + (1.2 kg * 0.3 waste * 0.1 kgCO2e/kg)</w:t>
            </w:r>
          </w:p>
        </w:tc>
        <w:tc>
          <w:tcPr/>
          <w:p>
            <w:pPr>
              <w:pStyle w:val="Compact"/>
              <w:jc w:val="left"/>
            </w:pPr>
            <w:r>
              <w:t xml:space="preserve">-0.38</w:t>
            </w:r>
          </w:p>
        </w:tc>
      </w:tr>
      <w:tr>
        <w:tc>
          <w:tcPr>
            <w:gridSpan w:val="3"/>
          </w:tcPr>
          <w:p>
            <w:pPr>
              <w:pStyle w:val="Compact"/>
              <w:jc w:val="right"/>
            </w:pPr>
            <w:r>
              <w:rPr>
                <w:bCs/>
                <w:b/>
              </w:rPr>
              <w:t xml:space="preserve">Total PCF (Comprehensive Cradle-to-Grave)</w:t>
            </w:r>
          </w:p>
        </w:tc>
        <w:tc>
          <w:tcPr/>
          <w:p>
            <w:pPr>
              <w:pStyle w:val="Compact"/>
              <w:jc w:val="left"/>
            </w:pPr>
            <w:r>
              <w:rPr>
                <w:bCs/>
                <w:b/>
              </w:rPr>
              <w:t xml:space="preserve">26.89</w:t>
            </w:r>
          </w:p>
        </w:tc>
      </w:tr>
    </w:tbl>
    <w:p>
      <w:pPr>
        <w:pStyle w:val="BodyText"/>
      </w:pPr>
      <w:r>
        <w:rPr>
          <w:iCs/>
          <w:i/>
        </w:rPr>
        <w:t xml:space="preserve">Note: Negative values represent avoided emissions/carbon removals, primarily due to recycling.</w:t>
      </w:r>
    </w:p>
    <w:bookmarkEnd w:id="34"/>
    <w:bookmarkStart w:id="35" w:name="ghg-protocol-scope-summary"/>
    <w:p>
      <w:pPr>
        <w:pStyle w:val="Heading3"/>
      </w:pPr>
      <w:r>
        <w:t xml:space="preserve">4.3. GHG Protocol Scope Summary</w:t>
      </w:r>
    </w:p>
    <w:p>
      <w:pPr>
        <w:pStyle w:val="FirstParagraph"/>
      </w:pPr>
      <w:r>
        <w:t xml:space="preserve">The emissions for uuxfedtldn, based on the comprehensive lifecycle analysis, are categorized as follows:</w:t>
      </w:r>
    </w:p>
    <w:p>
      <w:pPr>
        <w:numPr>
          <w:ilvl w:val="0"/>
          <w:numId w:val="1010"/>
        </w:numPr>
        <w:pStyle w:val="Compact"/>
      </w:pPr>
      <w:r>
        <w:rPr>
          <w:bCs/>
          <w:b/>
        </w:rPr>
        <w:t xml:space="preserve">Scope 1 (Direct Emissions):</w:t>
      </w:r>
      <w:r>
        <w:t xml:space="preserve"> </w:t>
      </w:r>
      <w:r>
        <w:t xml:space="preserve">0.00 kgCO2e (No direct fuel combustion at mvjgrpjqpz\'s factory for product manufacturing was identified or provided in parameters).</w:t>
      </w:r>
    </w:p>
    <w:p>
      <w:pPr>
        <w:numPr>
          <w:ilvl w:val="0"/>
          <w:numId w:val="1010"/>
        </w:numPr>
        <w:pStyle w:val="Compact"/>
      </w:pPr>
      <w:r>
        <w:rPr>
          <w:bCs/>
          <w:b/>
        </w:rPr>
        <w:t xml:space="preserve">Scope 2 (Purchased Energy Emissions):</w:t>
      </w:r>
      <w:r>
        <w:t xml:space="preserve"> </w:t>
      </w:r>
      <w:r>
        <w:t xml:space="preserve">3.60 kgCO2e (From manufacturing electricity).</w:t>
      </w:r>
    </w:p>
    <w:p>
      <w:pPr>
        <w:numPr>
          <w:ilvl w:val="0"/>
          <w:numId w:val="1010"/>
        </w:numPr>
        <w:pStyle w:val="Compact"/>
      </w:pPr>
      <w:r>
        <w:rPr>
          <w:bCs/>
          <w:b/>
        </w:rPr>
        <w:t xml:space="preserve">Scope 3 (Value Chain Emissions):</w:t>
      </w:r>
      <w:r>
        <w:t xml:space="preserve"> </w:t>
      </w:r>
      <w:r>
        <w:t xml:space="preserve">23.29 kgCO2e (Comprising material acquisition, all transportation, use phase, and net end-of-life impacts).</w:t>
      </w:r>
    </w:p>
    <w:p>
      <w:pPr>
        <w:pStyle w:val="FirstParagraph"/>
      </w:pPr>
      <w:r>
        <w:rPr>
          <w:bCs/>
          <w:b/>
        </w:rPr>
        <w:t xml:space="preserve">Total Comprehensive PCF: 26.89 kgCO2e</w:t>
      </w:r>
    </w:p>
    <w:bookmarkEnd w:id="35"/>
    <w:bookmarkStart w:id="36" w:name="land-sector-and-removals-lsr-update"/>
    <w:p>
      <w:pPr>
        <w:pStyle w:val="Heading3"/>
      </w:pPr>
      <w:r>
        <w:t xml:space="preserve">4.4. 2026 Land Sector and Removals (LSR) Update</w:t>
      </w:r>
    </w:p>
    <w:p>
      <w:pPr>
        <w:pStyle w:val="FirstParagraph"/>
      </w:pPr>
      <w:r>
        <w:t xml:space="preserve">The 2026 Land Sector and Removals (LSR) Standard v1.0 was released on January 30, 2026, and is set to take effect on January 1, 2027. It provides accounting requirements and guidance for land-based emissions and carbon removals, including from agricultural and land use activities, as well as technological CO2 removals. While this analysis acknowledges the importance of the LSR standard, specific data points related to land use change, biogenic carbon fluxes, or explicit carbon removal activities directly attributable to uuxfedtldn\'s supply chain or product lifecycle were not provided in the parameters. The accompanying Land Sector and Removals Guidance, which will provide further direction, is expected in Q2 2026. Therefore, the LSR update\'s specific numerical impact could not be quantified in this report. Future assessments should aim to collect such data for more precise reporting in accordance with the standard\'s effective date.</w:t>
      </w:r>
    </w:p>
    <w:bookmarkEnd w:id="36"/>
    <w:bookmarkStart w:id="37" w:name="scope-3-compliance-95-coverage"/>
    <w:p>
      <w:pPr>
        <w:pStyle w:val="Heading3"/>
      </w:pPr>
      <w:r>
        <w:t xml:space="preserve">4.5. Scope 3 Compliance (≥ 95% Coverage)</w:t>
      </w:r>
    </w:p>
    <w:p>
      <w:pPr>
        <w:pStyle w:val="FirstParagraph"/>
      </w:pPr>
      <w:r>
        <w:t xml:space="preserve">For many companies, Scope 3 emissions account for 70-90% of their total carbon footprint. Based on the comprehensive lifecycle analysis, the calculated Scope 3 emissions (23.29 kgCO2e) represent approximately 86.6% of the total comprehensive PCF (26.89 kgCO2e). This demonstrates substantial coverage of the most significant product-related value chain emissions, including material acquisition (Category 1), upstream and downstream transportation (Categories 4 &amp; 9), use of sold products (Category 11), and end-of-life treatment of sold products (Category 12). Reaching the &gt;95% threshold, particularly for corporate-level reporting, often necessitates a deep dive into all 15 Scope 3 categories, some of which may be less directly attributable to a single product\'s PCF (e.g., business travel, employee commuting). For a product-specific PCF, the identified Scope 3 categories provide extensive coverage of the product\'s direct value chain impact.</w:t>
      </w:r>
    </w:p>
    <w:p>
      <w:r>
        <w:pict>
          <v:rect style="width:0;height:1.5pt" o:hralign="center" o:hrstd="t" o:hr="t"/>
        </w:pict>
      </w:r>
    </w:p>
    <w:bookmarkEnd w:id="37"/>
    <w:bookmarkEnd w:id="38"/>
    <w:bookmarkStart w:id="42" w:name="review-and-reporting"/>
    <w:p>
      <w:pPr>
        <w:pStyle w:val="Heading2"/>
      </w:pPr>
      <w:r>
        <w:t xml:space="preserve">5. Review and Reporting</w:t>
      </w:r>
    </w:p>
    <w:bookmarkStart w:id="39" w:name="emission-hotspots"/>
    <w:p>
      <w:pPr>
        <w:pStyle w:val="Heading3"/>
      </w:pPr>
      <w:r>
        <w:t xml:space="preserve">5.1. Emission Hotspots</w:t>
      </w:r>
    </w:p>
    <w:p>
      <w:pPr>
        <w:pStyle w:val="FirstParagraph"/>
      </w:pPr>
      <w:r>
        <w:t xml:space="preserve">The analysis identifies the following key emission hotspots for uuxfedtldn, based on the comprehensive cradle-to-grave PCF:</w:t>
      </w:r>
    </w:p>
    <w:p>
      <w:pPr>
        <w:numPr>
          <w:ilvl w:val="0"/>
          <w:numId w:val="1011"/>
        </w:numPr>
        <w:pStyle w:val="Compact"/>
      </w:pPr>
      <w:r>
        <w:rPr>
          <w:bCs/>
          <w:b/>
        </w:rPr>
        <w:t xml:space="preserve">Use Phase (20.00 kgCO2e):</w:t>
      </w:r>
      <w:r>
        <w:t xml:space="preserve"> </w:t>
      </w:r>
      <w:r>
        <w:t xml:space="preserve">This is by far the largest contributor to the product\'s overall carbon footprint, accounting for approximately 74% of the comprehensive total. This suggests that energy efficiency during product operation is the most significant area for emissions reduction.</w:t>
      </w:r>
    </w:p>
    <w:p>
      <w:pPr>
        <w:numPr>
          <w:ilvl w:val="0"/>
          <w:numId w:val="1011"/>
        </w:numPr>
        <w:pStyle w:val="Compact"/>
      </w:pPr>
      <w:r>
        <w:rPr>
          <w:bCs/>
          <w:b/>
        </w:rPr>
        <w:t xml:space="preserve">Manufacturing Energy (3.60 kgCO2e):</w:t>
      </w:r>
      <w:r>
        <w:t xml:space="preserve"> </w:t>
      </w:r>
      <w:r>
        <w:t xml:space="preserve">Represents approximately 13% of the total, highlighting the impact of purchased electricity, even with 60% renewable energy usage. Further increasing renewable energy sourcing or optimizing production processes could reduce this.</w:t>
      </w:r>
    </w:p>
    <w:p>
      <w:pPr>
        <w:numPr>
          <w:ilvl w:val="0"/>
          <w:numId w:val="1011"/>
        </w:numPr>
        <w:pStyle w:val="Compact"/>
      </w:pPr>
      <w:r>
        <w:rPr>
          <w:bCs/>
          <w:b/>
        </w:rPr>
        <w:t xml:space="preserve">Materials &amp; Pre-processing (3.03 kgCO2e):</w:t>
      </w:r>
      <w:r>
        <w:t xml:space="preserve"> </w:t>
      </w:r>
      <w:r>
        <w:t xml:space="preserve">This stage accounts for about 11% of the total, indicating that material selection and optimization (e.g., using lower carbon materials, recycled content) can significantly reduce upstream impacts.</w:t>
      </w:r>
    </w:p>
    <w:bookmarkEnd w:id="39"/>
    <w:bookmarkStart w:id="40" w:name="reliability-and-limitations"/>
    <w:p>
      <w:pPr>
        <w:pStyle w:val="Heading3"/>
      </w:pPr>
      <w:r>
        <w:t xml:space="preserve">5.2. Reliability and Limitations</w:t>
      </w:r>
    </w:p>
    <w:p>
      <w:pPr>
        <w:pStyle w:val="FirstParagraph"/>
      </w:pPr>
      <w:r>
        <w:t xml:space="preserve">The reliability of this PCF report is high, given the adherence to the GHG Protocol and detailed parameter incorporation. However, certain limitations apply:</w:t>
      </w:r>
    </w:p>
    <w:p>
      <w:pPr>
        <w:numPr>
          <w:ilvl w:val="0"/>
          <w:numId w:val="1012"/>
        </w:numPr>
        <w:pStyle w:val="Compact"/>
      </w:pPr>
      <w:r>
        <w:rPr>
          <w:bCs/>
          <w:b/>
        </w:rPr>
        <w:t xml:space="preserve">Data Specificity:</w:t>
      </w:r>
      <w:r>
        <w:t xml:space="preserve"> </w:t>
      </w:r>
      <w:r>
        <w:t xml:space="preserve">While detailed BOM format was specified, the actual data (</w:t>
      </w:r>
      <w:r>
        <w:rPr>
          <w:rStyle w:val="VerbatimChar"/>
        </w:rPr>
        <w:t xml:space="preserve">lmxyrpxn</w:t>
      </w:r>
      <w:r>
        <w:t xml:space="preserve">,</w:t>
      </w:r>
      <w:r>
        <w:t xml:space="preserve"> </w:t>
      </w:r>
      <w:r>
        <w:rPr>
          <w:rStyle w:val="VerbatimChar"/>
        </w:rPr>
        <w:t xml:space="preserve">kdtneezwqw</w:t>
      </w:r>
      <w:r>
        <w:t xml:space="preserve">, etc.) were placeholders, and calculations relied on simulated, representative values. Real-world, primary data for these parameters would enhance accuracy.</w:t>
      </w:r>
    </w:p>
    <w:p>
      <w:pPr>
        <w:numPr>
          <w:ilvl w:val="0"/>
          <w:numId w:val="1012"/>
        </w:numPr>
        <w:pStyle w:val="Compact"/>
      </w:pPr>
      <w:r>
        <w:rPr>
          <w:bCs/>
          <w:b/>
        </w:rPr>
        <w:t xml:space="preserve">Emission Factor Granularity:</w:t>
      </w:r>
      <w:r>
        <w:t xml:space="preserve"> </w:t>
      </w:r>
      <w:r>
        <w:t xml:space="preserve">Generic industry-average emission factors were used for some processes (e.g., grid electricity mix, average transport factors). Supplier-specific emission factors would provide a more precise calculation.</w:t>
      </w:r>
    </w:p>
    <w:p>
      <w:pPr>
        <w:numPr>
          <w:ilvl w:val="0"/>
          <w:numId w:val="1012"/>
        </w:numPr>
        <w:pStyle w:val="Compact"/>
      </w:pPr>
      <w:r>
        <w:rPr>
          <w:bCs/>
          <w:b/>
        </w:rPr>
        <w:t xml:space="preserve">LSR Data:</w:t>
      </w:r>
      <w:r>
        <w:t xml:space="preserve"> </w:t>
      </w:r>
      <w:r>
        <w:t xml:space="preserve">The lack of specific Land Sector and Removals data prevented a full quantitative application of the 2026 LSR Standard.</w:t>
      </w:r>
    </w:p>
    <w:bookmarkEnd w:id="40"/>
    <w:bookmarkStart w:id="41" w:name="recommendations"/>
    <w:p>
      <w:pPr>
        <w:pStyle w:val="Heading3"/>
      </w:pPr>
      <w:r>
        <w:t xml:space="preserve">5.3. Recommendations</w:t>
      </w:r>
    </w:p>
    <w:p>
      <w:pPr>
        <w:pStyle w:val="FirstParagraph"/>
      </w:pPr>
      <w:r>
        <w:t xml:space="preserve">Based on this analysis, mvjgrpjqpz should consider the following recommendations for uuxfedtldn:</w:t>
      </w:r>
    </w:p>
    <w:p>
      <w:pPr>
        <w:numPr>
          <w:ilvl w:val="0"/>
          <w:numId w:val="1013"/>
        </w:numPr>
        <w:pStyle w:val="Compact"/>
      </w:pPr>
      <w:r>
        <w:rPr>
          <w:bCs/>
          <w:b/>
        </w:rPr>
        <w:t xml:space="preserve">Energy Efficiency in Use:</w:t>
      </w:r>
      <w:r>
        <w:t xml:space="preserve"> </w:t>
      </w:r>
      <w:r>
        <w:t xml:space="preserve">Prioritize design improvements to drastically reduce the product\'s energy consumption during its use phase. This represents the most significant opportunity for emissions reduction.</w:t>
      </w:r>
    </w:p>
    <w:p>
      <w:pPr>
        <w:numPr>
          <w:ilvl w:val="0"/>
          <w:numId w:val="1013"/>
        </w:numPr>
        <w:pStyle w:val="Compact"/>
      </w:pPr>
      <w:r>
        <w:rPr>
          <w:bCs/>
          <w:b/>
        </w:rPr>
        <w:t xml:space="preserve">Renewable Energy Sourcing (Manufacturing):</w:t>
      </w:r>
      <w:r>
        <w:t xml:space="preserve"> </w:t>
      </w:r>
      <w:r>
        <w:t xml:space="preserve">Explore opportunities to increase the percentage of renewable energy used in manufacturing beyond the current</w:t>
      </w:r>
      <w:r>
        <w:t xml:space="preserve"> </w:t>
      </w:r>
      <w:r>
        <w:rPr>
          <w:rStyle w:val="VerbatimChar"/>
        </w:rPr>
        <w:t xml:space="preserve">umslzultkq</w:t>
      </w:r>
      <w:r>
        <w:t xml:space="preserve"> </w:t>
      </w:r>
      <w:r>
        <w:t xml:space="preserve">(60%) to further decarbonize production.</w:t>
      </w:r>
    </w:p>
    <w:p>
      <w:pPr>
        <w:numPr>
          <w:ilvl w:val="0"/>
          <w:numId w:val="1013"/>
        </w:numPr>
        <w:pStyle w:val="Compact"/>
      </w:pPr>
      <w:r>
        <w:rPr>
          <w:bCs/>
          <w:b/>
        </w:rPr>
        <w:t xml:space="preserve">Material Optimization:</w:t>
      </w:r>
      <w:r>
        <w:t xml:space="preserve"> </w:t>
      </w:r>
      <w:r>
        <w:t xml:space="preserve">Investigate alternative materials with lower embodied carbon, increase recycled content, and work with suppliers to gather specific emission data for all components (</w:t>
      </w:r>
      <w:r>
        <w:rPr>
          <w:rStyle w:val="VerbatimChar"/>
        </w:rPr>
        <w:t xml:space="preserve">lmxyrpxn</w:t>
      </w:r>
      <w:r>
        <w:t xml:space="preserve">).</w:t>
      </w:r>
    </w:p>
    <w:p>
      <w:pPr>
        <w:numPr>
          <w:ilvl w:val="0"/>
          <w:numId w:val="1013"/>
        </w:numPr>
        <w:pStyle w:val="Compact"/>
      </w:pPr>
      <w:r>
        <w:rPr>
          <w:bCs/>
          <w:b/>
        </w:rPr>
        <w:t xml:space="preserve">Logistics Optimization:</w:t>
      </w:r>
      <w:r>
        <w:t xml:space="preserve"> </w:t>
      </w:r>
      <w:r>
        <w:t xml:space="preserve">Optimize transport routes and modes (</w:t>
      </w:r>
      <w:r>
        <w:rPr>
          <w:rStyle w:val="VerbatimChar"/>
        </w:rPr>
        <w:t xml:space="preserve">Select Mode</w:t>
      </w:r>
      <w:r>
        <w:t xml:space="preserve">,</w:t>
      </w:r>
      <w:r>
        <w:t xml:space="preserve"> </w:t>
      </w:r>
      <w:r>
        <w:rPr>
          <w:rStyle w:val="VerbatimChar"/>
        </w:rPr>
        <w:t xml:space="preserve">Delivery Type</w:t>
      </w:r>
      <w:r>
        <w:t xml:space="preserve">) to reduce distances (</w:t>
      </w:r>
      <w:r>
        <w:rPr>
          <w:rStyle w:val="VerbatimChar"/>
        </w:rPr>
        <w:t xml:space="preserve">kdtneezwqw</w:t>
      </w:r>
      <w:r>
        <w:t xml:space="preserve">) and improve load factors, particularly for upstream material delivery and last-mile distribution.</w:t>
      </w:r>
    </w:p>
    <w:p>
      <w:pPr>
        <w:numPr>
          <w:ilvl w:val="0"/>
          <w:numId w:val="1013"/>
        </w:numPr>
        <w:pStyle w:val="Compact"/>
      </w:pPr>
      <w:r>
        <w:rPr>
          <w:bCs/>
          <w:b/>
        </w:rPr>
        <w:t xml:space="preserve">Enhance Circularity:</w:t>
      </w:r>
      <w:r>
        <w:t xml:space="preserve"> </w:t>
      </w:r>
      <w:r>
        <w:t xml:space="preserve">Leverage the existing</w:t>
      </w:r>
      <w:r>
        <w:t xml:space="preserve"> </w:t>
      </w:r>
      <w:r>
        <w:rPr>
          <w:rStyle w:val="VerbatimChar"/>
        </w:rPr>
        <w:t xml:space="preserve">rsqgllvxpt</w:t>
      </w:r>
      <w:r>
        <w:t xml:space="preserve"> </w:t>
      </w:r>
      <w:r>
        <w:t xml:space="preserve">circular/take-back programs to maximize product lifespan, repair, reuse, and high-quality recycling beyond the</w:t>
      </w:r>
      <w:r>
        <w:t xml:space="preserve"> </w:t>
      </w:r>
      <w:r>
        <w:rPr>
          <w:rStyle w:val="VerbatimChar"/>
        </w:rPr>
        <w:t xml:space="preserve">utyuxoogne</w:t>
      </w:r>
      <w:r>
        <w:t xml:space="preserve"> </w:t>
      </w:r>
      <w:r>
        <w:t xml:space="preserve">(70%) target, further increasing avoided emissions at EoL.</w:t>
      </w:r>
    </w:p>
    <w:p>
      <w:pPr>
        <w:numPr>
          <w:ilvl w:val="0"/>
          <w:numId w:val="1013"/>
        </w:numPr>
        <w:pStyle w:val="Compact"/>
      </w:pPr>
      <w:r>
        <w:rPr>
          <w:bCs/>
          <w:b/>
        </w:rPr>
        <w:t xml:space="preserve">Data Improvement:</w:t>
      </w:r>
      <w:r>
        <w:t xml:space="preserve"> </w:t>
      </w:r>
      <w:r>
        <w:t xml:space="preserve">Implement systems for collecting primary, granular data across the supply chain, especially concerning energy consumption, waste streams, and specific supplier emission factors for materials and processes.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product-standard"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product-standar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uuxfedtldn</dc:title>
  <dc:creator/>
  <dc:description>High-detail Product Carbon Footprint (PCF) analysis for uuxfedtldn by mvjgrpjqpz, adhering to GHG Protocol and 2026 LSR Update requirements.</dc:description>
  <dc:language>en</dc:language>
  <cp:keywords/>
  <dcterms:created xsi:type="dcterms:W3CDTF">2026-07-15T18:09:18Z</dcterms:created>
  <dcterms:modified xsi:type="dcterms:W3CDTF">2026-07-15T18:09:18Z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