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uuwswzwweg</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uuwswzwweg</w:t>
      </w:r>
    </w:p>
    <w:p>
      <w:pPr>
        <w:pStyle w:val="BodyText"/>
      </w:pPr>
      <w:r>
        <w:rPr>
          <w:bCs/>
          <w:b/>
        </w:rPr>
        <w:t xml:space="preserve">Company:</w:t>
      </w:r>
      <w:r>
        <w:t xml:space="preserve"> </w:t>
      </w:r>
      <w:r>
        <w:t xml:space="preserve">sktfkjzmlt</w:t>
      </w:r>
    </w:p>
    <w:p>
      <w:pPr>
        <w:pStyle w:val="BodyText"/>
      </w:pPr>
      <w:r>
        <w:rPr>
          <w:bCs/>
          <w:b/>
        </w:rPr>
        <w:t xml:space="preserve">Senior Sustainability Consultant:</w:t>
      </w:r>
      <w:r>
        <w:t xml:space="preserve"> </w:t>
      </w:r>
      <w:r>
        <w:t xml:space="preserve">jwvkjqovgq</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efforts have been made to ensure accuracy, the results are indicative and subject to the limitations of data availability and methodological assumptions.</w:t>
      </w:r>
    </w:p>
    <w:bookmarkEnd w:id="20"/>
    <w:bookmarkStart w:id="21" w:name="Xa9a2382e113fa45442cf728e24a31b29dac362f"/>
    <w:p>
      <w:pPr>
        <w:pStyle w:val="Heading1"/>
      </w:pPr>
      <w:r>
        <w:t xml:space="preserve">Product Carbon Footprint Report for uuwswzwweg</w:t>
      </w:r>
    </w:p>
    <w:p>
      <w:pPr>
        <w:pStyle w:val="FirstParagraph"/>
      </w:pPr>
      <w:r>
        <w:t xml:space="preserve">Generated Date: June 4,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uuwswzwweg, manufactured by sktfkjzmlt. The analysis, conducted by Senior Sustainability Consultant jwvkjqovgq, adheres to the GHG Protocol and incorporates the latest 2026 Land Sector and Removals (LSR) Standard updates and Scope 3 compliance requirements. The primary objective is to quantify the greenhouse gas (GHG) emissions across the product\'s lifecycle, from raw material acquisition to end-of-life, providing insights into emission hotspots and potential reduction opportunities.</w:t>
      </w:r>
    </w:p>
    <w:p>
      <w:r>
        <w:pict>
          <v:rect style="width:0;height:1.5pt" o:hralign="center" o:hrstd="t" o:hr="t"/>
        </w:pict>
      </w:r>
    </w:p>
    <w:bookmarkEnd w:id="22"/>
    <w:bookmarkStart w:id="30" w:name="methodology-and-scope-definition"/>
    <w:p>
      <w:pPr>
        <w:pStyle w:val="Heading2"/>
      </w:pPr>
      <w:r>
        <w:t xml:space="preserve">1. Methodology and Scope Definition</w:t>
      </w:r>
    </w:p>
    <w:p>
      <w:pPr>
        <w:pStyle w:val="FirstParagraph"/>
      </w:pPr>
      <w:r>
        <w:t xml:space="preserve">The Product Carbon Footprint (PCF) for uuwswzwweg has been calculated following a systematic five-step methodology, fully compliant with the Greenhouse Gas (GHG) Protocol Product Standard. This approach ensures a comprehensive and robust assessment of environmental impacts across the product\'s lifecycle.</w:t>
      </w:r>
    </w:p>
    <w:bookmarkStart w:id="23"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uuwswzwweg</w:t>
      </w:r>
      <w:r>
        <w:t xml:space="preserve">.</w:t>
      </w:r>
    </w:p>
    <w:bookmarkEnd w:id="23"/>
    <w:bookmarkStart w:id="24" w:name="system-boundary"/>
    <w:p>
      <w:pPr>
        <w:pStyle w:val="Heading3"/>
      </w:pPr>
      <w:r>
        <w:t xml:space="preserve">1.2. System Boundary</w:t>
      </w:r>
    </w:p>
    <w:p>
      <w:pPr>
        <w:pStyle w:val="FirstParagraph"/>
      </w:pPr>
      <w:r>
        <w:t xml:space="preserve">The system boundary for this PCF study is "factory_gate", encompassing all upstream activities from raw material extraction, manufacturing of components, their transportation to the production facility, and the manufacturing processes at sktfkjzmlt\'s factory. Additionally, due to the comprehensive nature of this analysis and adherence to Scope 3 requirements, downstream stages including transportation, use phase, and end-of-life have also been considered to provide a holistic view of the product\'s impact, extending beyond a strict "cradle-to-gate" interpretation to a "cradle-to-grave" understanding of the product\'s value chain emissions.</w:t>
      </w:r>
    </w:p>
    <w:bookmarkEnd w:id="24"/>
    <w:bookmarkStart w:id="25" w:name="geographic-scope"/>
    <w:p>
      <w:pPr>
        <w:pStyle w:val="Heading3"/>
      </w:pPr>
      <w:r>
        <w:t xml:space="preserve">1.3. Geographic Scope</w:t>
      </w:r>
    </w:p>
    <w:p>
      <w:pPr>
        <w:pStyle w:val="FirstParagraph"/>
      </w:pPr>
      <w:r>
        <w:t xml:space="preserve">The final production country is China, with a specific focus on the supply chain originating primarily from Europe. This dual geographical focus necessitates careful consideration of regional energy mixes and transportation distances for accurate emission factor application.</w:t>
      </w:r>
    </w:p>
    <w:bookmarkEnd w:id="25"/>
    <w:bookmarkStart w:id="26" w:name="allocation"/>
    <w:p>
      <w:pPr>
        <w:pStyle w:val="Heading3"/>
      </w:pPr>
      <w:r>
        <w:t xml:space="preserve">1.4. Allocation</w:t>
      </w:r>
    </w:p>
    <w:p>
      <w:pPr>
        <w:pStyle w:val="FirstParagraph"/>
      </w:pPr>
      <w:r>
        <w:t xml:space="preserve">Emissions have been allocated to the functional unit based on mass and economic allocation principles where co-products or by-products occur, ensuring a fair distribution of environmental burdens.</w:t>
      </w:r>
    </w:p>
    <w:bookmarkEnd w:id="26"/>
    <w:bookmarkStart w:id="27" w:name="accounting-standard"/>
    <w:p>
      <w:pPr>
        <w:pStyle w:val="Heading3"/>
      </w:pPr>
      <w:r>
        <w:t xml:space="preserve">1.5. Accounting Standard</w:t>
      </w:r>
    </w:p>
    <w:p>
      <w:pPr>
        <w:pStyle w:val="FirstParagraph"/>
      </w:pPr>
      <w:r>
        <w:t xml:space="preserve">This PCF analysis is conducted in strict accordance with the</w:t>
      </w:r>
      <w:r>
        <w:t xml:space="preserve"> </w:t>
      </w:r>
      <w:r>
        <w:rPr>
          <w:bCs/>
          <w:b/>
        </w:rPr>
        <w:t xml:space="preserve">GHG Protocol Product Standard</w:t>
      </w:r>
      <w:r>
        <w:t xml:space="preserve">. Emissions are categorized into Scope 1 (direct emissions from owned or controlled sources), Scope 2 (indirect emissions from the generation of purchased electricity, steam, heating, or cooling), and Scope 3 (all other indirect emissions that occur in the value chain of the reporting company, both upstream and downstream).</w:t>
      </w:r>
    </w:p>
    <w:bookmarkEnd w:id="27"/>
    <w:bookmarkStart w:id="28" w:name="X504f4a86e01fdcfa46a4589bb1b5e0cfaad8629"/>
    <w:p>
      <w:pPr>
        <w:pStyle w:val="Heading3"/>
      </w:pPr>
      <w:r>
        <w:t xml:space="preserve">1.6. 2026 Land Sector and Removals (LSR) Standard Update</w:t>
      </w:r>
    </w:p>
    <w:p>
      <w:pPr>
        <w:pStyle w:val="FirstParagraph"/>
      </w:pPr>
      <w:r>
        <w:t xml:space="preserve">In anticipation of future regulatory alignment, this report acknowledges and incorporates the principles of the GHG Protocol\'s 2026 Land Sector and Removals (LSR) Standard. The LSR Standard, effective January 1, 2027, provides requirements for accounting for land sector emissions (such as land use change, land management) and CO2 removals. While specific land-use data for uuwswzwweg was not provided in the BOM, the methodology accounts for potential biogenic carbon flows where applicable, and the intent to align with this standard\'s requirements for future, more granular data collection is stated. The accompanying guidance document is expected in Q2 2026.</w:t>
      </w:r>
    </w:p>
    <w:bookmarkEnd w:id="28"/>
    <w:bookmarkStart w:id="29" w:name="scope-3-compliance"/>
    <w:p>
      <w:pPr>
        <w:pStyle w:val="Heading3"/>
      </w:pPr>
      <w:r>
        <w:t xml:space="preserve">1.7. Scope 3 Compliance</w:t>
      </w:r>
    </w:p>
    <w:p>
      <w:pPr>
        <w:pStyle w:val="FirstParagraph"/>
      </w:pPr>
      <w:r>
        <w:t xml:space="preserve">The analysis aims for at least 95% coverage for Scope 3 reporting, as per the proposed 2026 GHG Protocol requirements. This comprehensive approach ensures that the majority of value chain emissions, both upstream (e.g., purchased goods and services, upstream transportation) and downstream (e.g., use of sold products, end-of-life treatment of sold products), are captured and quantified.</w:t>
      </w:r>
    </w:p>
    <w:p>
      <w:r>
        <w:pict>
          <v:rect style="width:0;height:1.5pt" o:hralign="center" o:hrstd="t" o:hr="t"/>
        </w:pict>
      </w:r>
    </w:p>
    <w:bookmarkEnd w:id="29"/>
    <w:bookmarkEnd w:id="30"/>
    <w:bookmarkStart w:id="36" w:name="lifecycle-mapping-and-data-collection"/>
    <w:p>
      <w:pPr>
        <w:pStyle w:val="Heading2"/>
      </w:pPr>
      <w:r>
        <w:t xml:space="preserve">2. &amp; 3. Lifecycle Mapping and Data Collection</w:t>
      </w:r>
    </w:p>
    <w:p>
      <w:pPr>
        <w:pStyle w:val="FirstParagraph"/>
      </w:pPr>
      <w:r>
        <w:t xml:space="preserve">The lifecycle of uuwswzwweg has been mapped to identify all relevant stages contributing to its carbon footprint. Data has been collected from primary (provided parameters) and secondary (industry-standard emission factors) sources.</w:t>
      </w:r>
    </w:p>
    <w:bookmarkStart w:id="31" w:name="detailed-bill-of-materials-bom-analysis"/>
    <w:p>
      <w:pPr>
        <w:pStyle w:val="Heading3"/>
      </w:pPr>
      <w:r>
        <w:t xml:space="preserve">2.1. Detailed Bill of Materials (BOM) Analysis</w:t>
      </w:r>
    </w:p>
    <w:p>
      <w:pPr>
        <w:pStyle w:val="FirstParagraph"/>
      </w:pPr>
      <w:r>
        <w:t xml:space="preserve">The detailed Bill of Materials (BOM) for uuwswzwweg (hwhzmiet) has been used to calculate the material-related emissions. The provided BOM data, formatted as "ID, Description, Category, Process, Qty, Unit, Emission Factor (kg CO2e/Unit), Total Carbon (kg CO2e)", offers a high-accuracy basis for material impact calculation. The total carbon values from the BOM are directly utilized.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3</w:t>
            </w:r>
          </w:p>
        </w:tc>
        <w:tc>
          <w:tcPr/>
          <w:p>
            <w:pPr>
              <w:pStyle w:val="Compact"/>
              <w:jc w:val="left"/>
            </w:pPr>
            <w:r>
              <w:t xml:space="preserve">Metal Screws</w:t>
            </w:r>
          </w:p>
        </w:tc>
        <w:tc>
          <w:tcPr/>
          <w:p>
            <w:pPr>
              <w:pStyle w:val="Compact"/>
              <w:jc w:val="left"/>
            </w:pPr>
            <w:r>
              <w:t xml:space="preserve">Metals</w:t>
            </w:r>
          </w:p>
        </w:tc>
        <w:tc>
          <w:tcPr/>
          <w:p>
            <w:pPr>
              <w:pStyle w:val="Compact"/>
              <w:jc w:val="left"/>
            </w:pPr>
            <w:r>
              <w:t xml:space="preserve">Fabrication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5.0</w:t>
            </w:r>
          </w:p>
        </w:tc>
        <w:tc>
          <w:tcPr/>
          <w:p>
            <w:pPr>
              <w:pStyle w:val="Compact"/>
              <w:jc w:val="left"/>
            </w:pPr>
            <w:r>
              <w:t xml:space="preserve">0.10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Printing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r>
        <w:tc>
          <w:tcPr/>
          <w:p>
            <w:pPr>
              <w:pStyle w:val="Compact"/>
              <w:jc w:val="left"/>
            </w:pPr>
            <w:r>
              <w:t xml:space="preserve">5</w:t>
            </w:r>
          </w:p>
        </w:tc>
        <w:tc>
          <w:tcPr/>
          <w:p>
            <w:pPr>
              <w:pStyle w:val="Compact"/>
              <w:jc w:val="left"/>
            </w:pPr>
            <w:r>
              <w:t xml:space="preserve">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8.0</w:t>
            </w:r>
          </w:p>
        </w:tc>
        <w:tc>
          <w:tcPr/>
          <w:p>
            <w:pPr>
              <w:pStyle w:val="Compact"/>
              <w:jc w:val="left"/>
            </w:pPr>
            <w:r>
              <w:t xml:space="preserve">0.40</w:t>
            </w:r>
          </w:p>
        </w:tc>
      </w:tr>
    </w:tbl>
    <w:p>
      <w:pPr>
        <w:pStyle w:val="BodyText"/>
      </w:pPr>
      <w:r>
        <w:rPr>
          <w:iCs/>
          <w:i/>
        </w:rPr>
        <w:t xml:space="preserve">Note: The "Emission Factor" and "Total Carbon" values in the BOM table are derived directly from the provided \'hwhzmiet\' string, assuming the \'Total Carbon\' is the calculated product of \'Qty\' and \'Emission Factor\'.</w:t>
      </w:r>
    </w:p>
    <w:bookmarkEnd w:id="31"/>
    <w:bookmarkStart w:id="32" w:name="energy-inputs-production-phase"/>
    <w:p>
      <w:pPr>
        <w:pStyle w:val="Heading3"/>
      </w:pPr>
      <w:r>
        <w:t xml:space="preserve">2.2. Energy Inputs (Production Phase)</w:t>
      </w:r>
    </w:p>
    <w:p>
      <w:pPr>
        <w:numPr>
          <w:ilvl w:val="0"/>
          <w:numId w:val="1001"/>
        </w:numPr>
        <w:pStyle w:val="Compact"/>
      </w:pPr>
      <w:r>
        <w:rPr>
          <w:bCs/>
          <w:b/>
        </w:rPr>
        <w:t xml:space="preserve">Energy Intensity (lwiwwnhnyt):</w:t>
      </w:r>
      <w:r>
        <w:t xml:space="preserve"> </w:t>
      </w:r>
      <w:r>
        <w:t xml:space="preserve">15 kWh/unit</w:t>
      </w:r>
    </w:p>
    <w:p>
      <w:pPr>
        <w:numPr>
          <w:ilvl w:val="0"/>
          <w:numId w:val="1001"/>
        </w:numPr>
        <w:pStyle w:val="Compact"/>
      </w:pPr>
      <w:r>
        <w:rPr>
          <w:bCs/>
          <w:b/>
        </w:rPr>
        <w:t xml:space="preserve">Renewable Energy Usage (skifkgpmjp):</w:t>
      </w:r>
      <w:r>
        <w:t xml:space="preserve"> </w:t>
      </w:r>
      <w:r>
        <w:t xml:space="preserve">60%</w:t>
      </w:r>
    </w:p>
    <w:p>
      <w:pPr>
        <w:numPr>
          <w:ilvl w:val="0"/>
          <w:numId w:val="1001"/>
        </w:numPr>
        <w:pStyle w:val="Compact"/>
      </w:pPr>
      <w:r>
        <w:rPr>
          <w:bCs/>
          <w:b/>
        </w:rPr>
        <w:t xml:space="preserve">Non-renewable energy share:</w:t>
      </w:r>
      <w:r>
        <w:t xml:space="preserve"> </w:t>
      </w:r>
      <w:r>
        <w:t xml:space="preserve">(1 - 0.60) = 40%</w:t>
      </w:r>
    </w:p>
    <w:p>
      <w:pPr>
        <w:numPr>
          <w:ilvl w:val="0"/>
          <w:numId w:val="1001"/>
        </w:numPr>
        <w:pStyle w:val="Compact"/>
      </w:pPr>
      <w:r>
        <w:rPr>
          <w:bCs/>
          <w:b/>
        </w:rPr>
        <w:t xml:space="preserve">Grid Electricity Emission Factor (China):</w:t>
      </w:r>
      <w:r>
        <w:t xml:space="preserve"> </w:t>
      </w:r>
      <w:r>
        <w:t xml:space="preserve">Approximately 0.57 kg CO2e/kWh (based on 2021-2023 national averages, range from 0.5568 kg CO2/kWh to 0.6205 kg CO2e/kWh, for China\'s national average)</w:t>
      </w:r>
    </w:p>
    <w:bookmarkEnd w:id="32"/>
    <w:bookmarkStart w:id="33" w:name="logistics-data"/>
    <w:p>
      <w:pPr>
        <w:pStyle w:val="Heading3"/>
      </w:pPr>
      <w:r>
        <w:t xml:space="preserve">2.3. Logistics Data</w:t>
      </w:r>
    </w:p>
    <w:p>
      <w:pPr>
        <w:numPr>
          <w:ilvl w:val="0"/>
          <w:numId w:val="1002"/>
        </w:numPr>
        <w:pStyle w:val="Compact"/>
      </w:pPr>
      <w:r>
        <w:rPr>
          <w:bCs/>
          <w:b/>
        </w:rPr>
        <w:t xml:space="preserve">Main Transport Distance (dgqsfotqep):</w:t>
      </w:r>
      <w:r>
        <w:t xml:space="preserve"> </w:t>
      </w:r>
      <w:r>
        <w:t xml:space="preserve">1500 km</w:t>
      </w:r>
    </w:p>
    <w:p>
      <w:pPr>
        <w:numPr>
          <w:ilvl w:val="0"/>
          <w:numId w:val="1002"/>
        </w:numPr>
        <w:pStyle w:val="Compact"/>
      </w:pPr>
      <w:r>
        <w:rPr>
          <w:bCs/>
          <w:b/>
        </w:rPr>
        <w:t xml:space="preserve">Transport Mode:</w:t>
      </w:r>
      <w:r>
        <w:t xml:space="preserve"> </w:t>
      </w:r>
      <w:r>
        <w:t xml:space="preserve">Road Freight (Heavy Goods Vehicle, &gt;16t)</w:t>
      </w:r>
    </w:p>
    <w:p>
      <w:pPr>
        <w:numPr>
          <w:ilvl w:val="0"/>
          <w:numId w:val="1002"/>
        </w:numPr>
        <w:pStyle w:val="Compact"/>
      </w:pPr>
      <w:r>
        <w:rPr>
          <w:bCs/>
          <w:b/>
        </w:rPr>
        <w:t xml:space="preserve">Last-Mile Delivery Channel (Delivery Type):</w:t>
      </w:r>
      <w:r>
        <w:t xml:space="preserve"> </w:t>
      </w:r>
      <w:r>
        <w:t xml:space="preserve">Road Freight (Light Commercial Vehicle)</w:t>
      </w:r>
    </w:p>
    <w:p>
      <w:pPr>
        <w:numPr>
          <w:ilvl w:val="0"/>
          <w:numId w:val="1002"/>
        </w:numPr>
        <w:pStyle w:val="Compact"/>
      </w:pPr>
      <w:r>
        <w:rPr>
          <w:bCs/>
          <w:b/>
        </w:rPr>
        <w:t xml:space="preserve">Assumed Product Weight:</w:t>
      </w:r>
      <w:r>
        <w:t xml:space="preserve"> </w:t>
      </w:r>
      <w:r>
        <w:t xml:space="preserve">Approximately 0.8 kg (sum of quantities from BOM for illustrative calculation, acknowledging that electronics and assembled units might have different density considerations than just material mass)</w:t>
      </w:r>
    </w:p>
    <w:bookmarkEnd w:id="33"/>
    <w:bookmarkStart w:id="34" w:name="use-phase-data"/>
    <w:p>
      <w:pPr>
        <w:pStyle w:val="Heading3"/>
      </w:pPr>
      <w:r>
        <w:t xml:space="preserve">2.4. Use Phase Data</w:t>
      </w:r>
    </w:p>
    <w:p>
      <w:pPr>
        <w:numPr>
          <w:ilvl w:val="0"/>
          <w:numId w:val="1003"/>
        </w:numPr>
        <w:pStyle w:val="Compact"/>
      </w:pPr>
      <w:r>
        <w:rPr>
          <w:bCs/>
          <w:b/>
        </w:rPr>
        <w:t xml:space="preserve">Product Lifespan (oklgleqyee):</w:t>
      </w:r>
      <w:r>
        <w:t xml:space="preserve"> </w:t>
      </w:r>
      <w:r>
        <w:t xml:space="preserve">7 years</w:t>
      </w:r>
    </w:p>
    <w:p>
      <w:pPr>
        <w:numPr>
          <w:ilvl w:val="0"/>
          <w:numId w:val="1003"/>
        </w:numPr>
        <w:pStyle w:val="Compact"/>
      </w:pPr>
      <w:r>
        <w:rPr>
          <w:bCs/>
          <w:b/>
        </w:rPr>
        <w:t xml:space="preserve">Energy Consumption in Use (yunlyteeih):</w:t>
      </w:r>
      <w:r>
        <w:t xml:space="preserve"> </w:t>
      </w:r>
      <w:r>
        <w:t xml:space="preserve">25 kWh/year</w:t>
      </w:r>
    </w:p>
    <w:bookmarkEnd w:id="34"/>
    <w:bookmarkStart w:id="35" w:name="end-of-life-eol-scenarios"/>
    <w:p>
      <w:pPr>
        <w:pStyle w:val="Heading3"/>
      </w:pPr>
      <w:r>
        <w:t xml:space="preserve">2.5. End-of-Life (EoL) Scenarios</w:t>
      </w:r>
    </w:p>
    <w:p>
      <w:pPr>
        <w:numPr>
          <w:ilvl w:val="0"/>
          <w:numId w:val="1004"/>
        </w:numPr>
        <w:pStyle w:val="Compact"/>
      </w:pPr>
      <w:r>
        <w:rPr>
          <w:bCs/>
          <w:b/>
        </w:rPr>
        <w:t xml:space="preserve">Recyclability Percentage (sxeqszrjht):</w:t>
      </w:r>
      <w:r>
        <w:t xml:space="preserve"> </w:t>
      </w:r>
      <w:r>
        <w:t xml:space="preserve">75%</w:t>
      </w:r>
    </w:p>
    <w:p>
      <w:pPr>
        <w:numPr>
          <w:ilvl w:val="0"/>
          <w:numId w:val="1004"/>
        </w:numPr>
        <w:pStyle w:val="Compact"/>
      </w:pPr>
      <w:r>
        <w:rPr>
          <w:bCs/>
          <w:b/>
        </w:rPr>
        <w:t xml:space="preserve">Circular/Take-back Programs (yoxvjknedd):</w:t>
      </w:r>
      <w:r>
        <w:t xml:space="preserve"> </w:t>
      </w:r>
      <w:r>
        <w:t xml:space="preserve">sktfkjzmlt\'s Product Take-back Initiative.</w:t>
      </w:r>
    </w:p>
    <w:p>
      <w:r>
        <w:pict>
          <v:rect style="width:0;height:1.5pt" o:hralign="center" o:hrstd="t" o:hr="t"/>
        </w:pict>
      </w:r>
    </w:p>
    <w:bookmarkEnd w:id="35"/>
    <w:bookmarkEnd w:id="36"/>
    <w:bookmarkStart w:id="46" w:name="emission-calculation"/>
    <w:p>
      <w:pPr>
        <w:pStyle w:val="Heading2"/>
      </w:pPr>
      <w:r>
        <w:t xml:space="preserve">4. Emission Calculation</w:t>
      </w:r>
    </w:p>
    <w:p>
      <w:pPr>
        <w:pStyle w:val="FirstParagraph"/>
      </w:pPr>
      <w:r>
        <w:t xml:space="preserve">Emissions are calculated for each lifecycle stage using the formula: Activity Data × Emission Factor = CO2e. Industry-standard emission factors from sources like Ecoinvent and DEFRA have been applied, with specific values used for consistency.</w:t>
      </w:r>
    </w:p>
    <w:bookmarkStart w:id="39" w:name="scope-3-upstream-emissions"/>
    <w:p>
      <w:pPr>
        <w:pStyle w:val="Heading3"/>
      </w:pPr>
      <w:r>
        <w:t xml:space="preserve">4.1. Scope 3: Upstream Emissions</w:t>
      </w:r>
    </w:p>
    <w:bookmarkStart w:id="37" w:name="purchased-goods-and-services-materials"/>
    <w:p>
      <w:pPr>
        <w:pStyle w:val="Heading4"/>
      </w:pPr>
      <w:r>
        <w:t xml:space="preserve">4.1.1. Purchased Goods and Services (Materials)</w:t>
      </w:r>
    </w:p>
    <w:p>
      <w:pPr>
        <w:pStyle w:val="FirstParagraph"/>
      </w:pPr>
      <w:r>
        <w:t xml:space="preserve">Based on the provided BOM (hwhzmiet), the sum of total carbon from raw material acquisition and processing is calculated:</w:t>
      </w:r>
    </w:p>
    <w:p>
      <w:pPr>
        <w:numPr>
          <w:ilvl w:val="0"/>
          <w:numId w:val="1005"/>
        </w:numPr>
        <w:pStyle w:val="Compact"/>
      </w:pPr>
      <w:r>
        <w:t xml:space="preserve">Plastic Casing: 1.25 kg CO2e (Emission factor for plastic injection molding typically ranges from 1.07 kg CO2/kg to 4.43 kg CO2/kg, or 2.15-3.67 kgCO2e/kg for plastics). Our provided EF of 2.5 kg CO2e/kg is within this range.</w:t>
      </w:r>
    </w:p>
    <w:p>
      <w:pPr>
        <w:numPr>
          <w:ilvl w:val="0"/>
          <w:numId w:val="1005"/>
        </w:numPr>
        <w:pStyle w:val="Compact"/>
      </w:pPr>
      <w:r>
        <w:t xml:space="preserve">Circuit Board: 1.00 kg CO2e (Emission factor for electronic assembly can be around 0.175 kgCO2e/USD for supply chain). Our provided EF of 10.0 kg CO2e/unit is an aggregated value for the complex component.</w:t>
      </w:r>
    </w:p>
    <w:p>
      <w:pPr>
        <w:numPr>
          <w:ilvl w:val="0"/>
          <w:numId w:val="1005"/>
        </w:numPr>
        <w:pStyle w:val="Compact"/>
      </w:pPr>
      <w:r>
        <w:t xml:space="preserve">Metal Screws: 0.10 kg CO2e (Emission factor for steel can be around 1.64-2.53 kg CO2e/kg). Our provided EF of 5.0 kg CO2e/kg is an aggregated value for fabricated metal parts.</w:t>
      </w:r>
    </w:p>
    <w:p>
      <w:pPr>
        <w:numPr>
          <w:ilvl w:val="0"/>
          <w:numId w:val="1005"/>
        </w:numPr>
        <w:pStyle w:val="Compact"/>
      </w:pPr>
      <w:r>
        <w:t xml:space="preserve">Packaging Cardboard: 0.20 kg CO2e (Emission factor for primary cardboard production is around 0.538 - 1.53 kg CO2e/kg). Our provided EF of 1.0 kg CO2e/kg is consistent.</w:t>
      </w:r>
    </w:p>
    <w:p>
      <w:pPr>
        <w:numPr>
          <w:ilvl w:val="0"/>
          <w:numId w:val="1005"/>
        </w:numPr>
        <w:pStyle w:val="Compact"/>
      </w:pPr>
      <w:r>
        <w:t xml:space="preserve">Battery: 0.40 kg CO2e (Emission factor for Li-ion battery production can range from 3.6 kg CO2e/kg to 12.8 kg CO2e/kg, or 40-60 kg CO2/kWh capacity). Our provided EF of 8.0 kg CO2e/kg is within this range.</w:t>
      </w:r>
    </w:p>
    <w:p>
      <w:pPr>
        <w:pStyle w:val="FirstParagraph"/>
      </w:pPr>
      <w:r>
        <w:rPr>
          <w:bCs/>
          <w:b/>
        </w:rPr>
        <w:t xml:space="preserve">Total Material Emissions (Scope 3 - Category 1): 2.95 kg CO2e</w:t>
      </w:r>
    </w:p>
    <w:bookmarkEnd w:id="37"/>
    <w:bookmarkStart w:id="38" w:name="upstream-transportation-and-distribution"/>
    <w:p>
      <w:pPr>
        <w:pStyle w:val="Heading4"/>
      </w:pPr>
      <w:r>
        <w:t xml:space="preserve">4.1.2. Upstream Transportation and Distribution</w:t>
      </w:r>
    </w:p>
    <w:p>
      <w:pPr>
        <w:pStyle w:val="FirstParagraph"/>
      </w:pPr>
      <w:r>
        <w:t xml:space="preserve">For main transport from European suppliers to the China production facility:</w:t>
      </w:r>
    </w:p>
    <w:p>
      <w:pPr>
        <w:numPr>
          <w:ilvl w:val="0"/>
          <w:numId w:val="1006"/>
        </w:numPr>
        <w:pStyle w:val="Compact"/>
      </w:pPr>
      <w:r>
        <w:t xml:space="preserve">Transport Mode: Road Freight (Heavy Goods Vehicle, &gt;16t)</w:t>
      </w:r>
    </w:p>
    <w:p>
      <w:pPr>
        <w:numPr>
          <w:ilvl w:val="0"/>
          <w:numId w:val="1006"/>
        </w:numPr>
        <w:pStyle w:val="Compact"/>
      </w:pPr>
      <w:r>
        <w:t xml:space="preserve">Distance (dgqsfotqep): 1500 km</w:t>
      </w:r>
    </w:p>
    <w:p>
      <w:pPr>
        <w:numPr>
          <w:ilvl w:val="0"/>
          <w:numId w:val="1006"/>
        </w:numPr>
        <w:pStyle w:val="Compact"/>
      </w:pPr>
      <w:r>
        <w:t xml:space="preserve">Assumed Product Weight: 0.8 kg = 0.0008 tonnes</w:t>
      </w:r>
    </w:p>
    <w:p>
      <w:pPr>
        <w:numPr>
          <w:ilvl w:val="0"/>
          <w:numId w:val="1006"/>
        </w:numPr>
        <w:pStyle w:val="Compact"/>
      </w:pPr>
      <w:r>
        <w:t xml:space="preserve">Emission Factor for Heavy Goods Vehicle: ~0.1 kg CO2e/tkm (representative average for road freight, typically ranges from 0.062 kg CO2/tkm to 0.202795 kgCO2e/ton-mile).</w:t>
      </w:r>
    </w:p>
    <w:p>
      <w:pPr>
        <w:numPr>
          <w:ilvl w:val="0"/>
          <w:numId w:val="1006"/>
        </w:numPr>
        <w:pStyle w:val="Compact"/>
      </w:pPr>
      <w:r>
        <w:t xml:space="preserve">Calculation: 0.0008 tonnes × 1500 km × 0.1 kg CO2e/tkm = 0.12 kg CO2e</w:t>
      </w:r>
    </w:p>
    <w:p>
      <w:pPr>
        <w:pStyle w:val="FirstParagraph"/>
      </w:pPr>
      <w:r>
        <w:rPr>
          <w:bCs/>
          <w:b/>
        </w:rPr>
        <w:t xml:space="preserve">Total Upstream Transport Emissions (Scope 3 - Category 4): 0.12 kg CO2e</w:t>
      </w:r>
    </w:p>
    <w:bookmarkEnd w:id="38"/>
    <w:bookmarkEnd w:id="39"/>
    <w:bookmarkStart w:id="40" w:name="X6ca0a628ba9d39d419fed52ce372fdb017d5b48"/>
    <w:p>
      <w:pPr>
        <w:pStyle w:val="Heading3"/>
      </w:pPr>
      <w:r>
        <w:t xml:space="preserve">4.2. Scope 2: Production Phase Emissions (Purchased Electricity)</w:t>
      </w:r>
    </w:p>
    <w:p>
      <w:pPr>
        <w:numPr>
          <w:ilvl w:val="0"/>
          <w:numId w:val="1007"/>
        </w:numPr>
        <w:pStyle w:val="Compact"/>
      </w:pPr>
      <w:r>
        <w:t xml:space="preserve">Energy Intensity (lwiwwnhnyt): 15 kWh/unit</w:t>
      </w:r>
    </w:p>
    <w:p>
      <w:pPr>
        <w:numPr>
          <w:ilvl w:val="0"/>
          <w:numId w:val="1007"/>
        </w:numPr>
        <w:pStyle w:val="Compact"/>
      </w:pPr>
      <w:r>
        <w:t xml:space="preserve">Renewable Energy Usage (skifkgpmjp): 60%</w:t>
      </w:r>
    </w:p>
    <w:p>
      <w:pPr>
        <w:numPr>
          <w:ilvl w:val="0"/>
          <w:numId w:val="1007"/>
        </w:numPr>
        <w:pStyle w:val="Compact"/>
      </w:pPr>
      <w:r>
        <w:t xml:space="preserve">Non-renewable electricity consumption: 15 kWh/unit × (1 - 0.60) = 6 kWh/unit</w:t>
      </w:r>
    </w:p>
    <w:p>
      <w:pPr>
        <w:numPr>
          <w:ilvl w:val="0"/>
          <w:numId w:val="1007"/>
        </w:numPr>
        <w:pStyle w:val="Compact"/>
      </w:pPr>
      <w:r>
        <w:t xml:space="preserve">China Grid Electricity Emission Factor: 0.57 kg CO2e/kWh</w:t>
      </w:r>
    </w:p>
    <w:p>
      <w:pPr>
        <w:numPr>
          <w:ilvl w:val="0"/>
          <w:numId w:val="1007"/>
        </w:numPr>
        <w:pStyle w:val="Compact"/>
      </w:pPr>
      <w:r>
        <w:t xml:space="preserve">Calculation: 6 kWh/unit × 0.57 kg CO2e/kWh = 3.42 kg CO2e</w:t>
      </w:r>
    </w:p>
    <w:p>
      <w:pPr>
        <w:pStyle w:val="FirstParagraph"/>
      </w:pPr>
      <w:r>
        <w:rPr>
          <w:bCs/>
          <w:b/>
        </w:rPr>
        <w:t xml:space="preserve">Total Production Energy Emissions (Scope 2): 3.42 kg CO2e</w:t>
      </w:r>
    </w:p>
    <w:bookmarkEnd w:id="40"/>
    <w:bookmarkStart w:id="44" w:name="scope-3-downstream-emissions"/>
    <w:p>
      <w:pPr>
        <w:pStyle w:val="Heading3"/>
      </w:pPr>
      <w:r>
        <w:t xml:space="preserve">4.3. Scope 3: Downstream Emissions</w:t>
      </w:r>
    </w:p>
    <w:bookmarkStart w:id="41" w:name="X176db3857c48a432dc85d833f2c3abda3f5678d"/>
    <w:p>
      <w:pPr>
        <w:pStyle w:val="Heading4"/>
      </w:pPr>
      <w:r>
        <w:t xml:space="preserve">4.3.1. Downstream Transportation and Distribution (Last-Mile)</w:t>
      </w:r>
    </w:p>
    <w:p>
      <w:pPr>
        <w:pStyle w:val="FirstParagraph"/>
      </w:pPr>
      <w:r>
        <w:t xml:space="preserve">For last-mile delivery to the customer:</w:t>
      </w:r>
    </w:p>
    <w:p>
      <w:pPr>
        <w:numPr>
          <w:ilvl w:val="0"/>
          <w:numId w:val="1008"/>
        </w:numPr>
        <w:pStyle w:val="Compact"/>
      </w:pPr>
      <w:r>
        <w:t xml:space="preserve">Last-Mile Delivery Channel: Road Freight (Light Commercial Vehicle)</w:t>
      </w:r>
    </w:p>
    <w:p>
      <w:pPr>
        <w:numPr>
          <w:ilvl w:val="0"/>
          <w:numId w:val="1008"/>
        </w:numPr>
        <w:pStyle w:val="Compact"/>
      </w:pPr>
      <w:r>
        <w:t xml:space="preserve">Assumed Last-Mile Distance: 50 km (typical for regional delivery)</w:t>
      </w:r>
    </w:p>
    <w:p>
      <w:pPr>
        <w:numPr>
          <w:ilvl w:val="0"/>
          <w:numId w:val="1008"/>
        </w:numPr>
        <w:pStyle w:val="Compact"/>
      </w:pPr>
      <w:r>
        <w:t xml:space="preserve">Assumed Product Weight: 0.8 kg = 0.0008 tonnes</w:t>
      </w:r>
    </w:p>
    <w:p>
      <w:pPr>
        <w:numPr>
          <w:ilvl w:val="0"/>
          <w:numId w:val="1008"/>
        </w:numPr>
        <w:pStyle w:val="Compact"/>
      </w:pPr>
      <w:r>
        <w:t xml:space="preserve">Emission Factor for Light Commercial Vehicle: ~0.3 kg CO2e/tkm (higher than heavy goods for smaller loads).</w:t>
      </w:r>
    </w:p>
    <w:p>
      <w:pPr>
        <w:numPr>
          <w:ilvl w:val="0"/>
          <w:numId w:val="1008"/>
        </w:numPr>
        <w:pStyle w:val="Compact"/>
      </w:pPr>
      <w:r>
        <w:t xml:space="preserve">Calculation: 0.0008 tonnes × 50 km × 0.3 kg CO2e/tkm = 0.012 kg CO2e</w:t>
      </w:r>
    </w:p>
    <w:p>
      <w:pPr>
        <w:pStyle w:val="FirstParagraph"/>
      </w:pPr>
      <w:r>
        <w:rPr>
          <w:bCs/>
          <w:b/>
        </w:rPr>
        <w:t xml:space="preserve">Total Downstream Transport Emissions (Scope 3 - Category 4): 0.012 kg CO2e</w:t>
      </w:r>
    </w:p>
    <w:bookmarkEnd w:id="41"/>
    <w:bookmarkStart w:id="42" w:name="X253154c4d225c93d81bfcec2bba74e2a3bd3c80"/>
    <w:p>
      <w:pPr>
        <w:pStyle w:val="Heading4"/>
      </w:pPr>
      <w:r>
        <w:t xml:space="preserve">4.3.2. Use of Sold Products (Energy Consumption in Use)</w:t>
      </w:r>
    </w:p>
    <w:p>
      <w:pPr>
        <w:numPr>
          <w:ilvl w:val="0"/>
          <w:numId w:val="1009"/>
        </w:numPr>
        <w:pStyle w:val="Compact"/>
      </w:pPr>
      <w:r>
        <w:t xml:space="preserve">Product Lifespan (oklgleqyee): 7 years</w:t>
      </w:r>
    </w:p>
    <w:p>
      <w:pPr>
        <w:numPr>
          <w:ilvl w:val="0"/>
          <w:numId w:val="1009"/>
        </w:numPr>
        <w:pStyle w:val="Compact"/>
      </w:pPr>
      <w:r>
        <w:t xml:space="preserve">Energy Consumption in Use (yunlyteeih): 25 kWh/year</w:t>
      </w:r>
    </w:p>
    <w:p>
      <w:pPr>
        <w:numPr>
          <w:ilvl w:val="0"/>
          <w:numId w:val="1009"/>
        </w:numPr>
        <w:pStyle w:val="Compact"/>
      </w:pPr>
      <w:r>
        <w:t xml:space="preserve">Total energy consumed over lifespan: 7 years × 25 kWh/year = 175 kWh</w:t>
      </w:r>
    </w:p>
    <w:p>
      <w:pPr>
        <w:numPr>
          <w:ilvl w:val="0"/>
          <w:numId w:val="1009"/>
        </w:numPr>
        <w:pStyle w:val="Compact"/>
      </w:pPr>
      <w:r>
        <w:t xml:space="preserve">Assumed Grid Electricity Emission Factor for use phase: 0.57 kg CO2e/kWh (assuming average grid mix during use)</w:t>
      </w:r>
    </w:p>
    <w:p>
      <w:pPr>
        <w:numPr>
          <w:ilvl w:val="0"/>
          <w:numId w:val="1009"/>
        </w:numPr>
        <w:pStyle w:val="Compact"/>
      </w:pPr>
      <w:r>
        <w:t xml:space="preserve">Calculation: 175 kWh × 0.57 kg CO2e/kWh = 99.75 kg CO2e</w:t>
      </w:r>
    </w:p>
    <w:p>
      <w:pPr>
        <w:pStyle w:val="FirstParagraph"/>
      </w:pPr>
      <w:r>
        <w:rPr>
          <w:bCs/>
          <w:b/>
        </w:rPr>
        <w:t xml:space="preserve">Total Use Phase Emissions (Scope 3 - Category 11): 99.75 kg CO2e</w:t>
      </w:r>
    </w:p>
    <w:bookmarkEnd w:id="42"/>
    <w:bookmarkStart w:id="43" w:name="end-of-life-treatment-of-sold-products"/>
    <w:p>
      <w:pPr>
        <w:pStyle w:val="Heading4"/>
      </w:pPr>
      <w:r>
        <w:t xml:space="preserve">4.3.3. End-of-Life Treatment of Sold Products</w:t>
      </w:r>
    </w:p>
    <w:p>
      <w:pPr>
        <w:numPr>
          <w:ilvl w:val="0"/>
          <w:numId w:val="1010"/>
        </w:numPr>
        <w:pStyle w:val="Compact"/>
      </w:pPr>
      <w:r>
        <w:t xml:space="preserve">Recyclability Percentage (sxeqszrjht): 75%</w:t>
      </w:r>
    </w:p>
    <w:p>
      <w:pPr>
        <w:numPr>
          <w:ilvl w:val="0"/>
          <w:numId w:val="1010"/>
        </w:numPr>
        <w:pStyle w:val="Compact"/>
      </w:pPr>
      <w:r>
        <w:t xml:space="preserve">Non-recyclable portion: (1 - 0.75) = 25%</w:t>
      </w:r>
    </w:p>
    <w:p>
      <w:pPr>
        <w:numPr>
          <w:ilvl w:val="0"/>
          <w:numId w:val="1010"/>
        </w:numPr>
        <w:pStyle w:val="Compact"/>
      </w:pPr>
      <w:r>
        <w:t xml:space="preserve">Assumed Product Weight: 0.8 kg</w:t>
      </w:r>
    </w:p>
    <w:p>
      <w:pPr>
        <w:numPr>
          <w:ilvl w:val="0"/>
          <w:numId w:val="1010"/>
        </w:numPr>
        <w:pStyle w:val="Compact"/>
      </w:pPr>
      <w:r>
        <w:t xml:space="preserve">Weight to landfill/incineration: 0.8 kg × 0.25 = 0.2 kg</w:t>
      </w:r>
    </w:p>
    <w:p>
      <w:pPr>
        <w:numPr>
          <w:ilvl w:val="0"/>
          <w:numId w:val="1010"/>
        </w:numPr>
        <w:pStyle w:val="Compact"/>
      </w:pPr>
      <w:r>
        <w:t xml:space="preserve">Emission Factor for Landfill (Mixed Waste): ~1.0 kg CO2e/kg (general approximation, actual values vary significantly)</w:t>
      </w:r>
    </w:p>
    <w:p>
      <w:pPr>
        <w:numPr>
          <w:ilvl w:val="0"/>
          <w:numId w:val="1010"/>
        </w:numPr>
        <w:pStyle w:val="Compact"/>
      </w:pPr>
      <w:r>
        <w:t xml:space="preserve">Calculation (Landfill/Incineration): 0.2 kg × 1.0 kg CO2e/kg = 0.20 kg CO2e</w:t>
      </w:r>
    </w:p>
    <w:p>
      <w:pPr>
        <w:numPr>
          <w:ilvl w:val="0"/>
          <w:numId w:val="1010"/>
        </w:numPr>
        <w:pStyle w:val="Compact"/>
      </w:pPr>
      <w:r>
        <w:t xml:space="preserve">Avoided Emissions from Recycling: Recycling often avoids the emissions associated with virgin material production. For 75% recycling, we can estimate an avoided burden. Taking 75% of the total material emissions (2.95 kg CO2e): 0.75 * 2.95 kg CO2e = 2.21 kg CO2e (as a credit/reduction).</w:t>
      </w:r>
    </w:p>
    <w:p>
      <w:pPr>
        <w:pStyle w:val="FirstParagraph"/>
      </w:pPr>
      <w:r>
        <w:rPr>
          <w:bCs/>
          <w:b/>
        </w:rPr>
        <w:t xml:space="preserve">Total End-of-Life Emissions (Scope 3 - Category 12): 0.20 kg CO2e (Gross emissions) - 2.21 kg CO2e (Avoided emissions) = -2.01 kg CO2e (Net avoided)</w:t>
      </w:r>
    </w:p>
    <w:p>
      <w:pPr>
        <w:pStyle w:val="BodyText"/>
      </w:pPr>
      <w:r>
        <w:t xml:space="preserve">The "sktfkjzmlt\'s Product Take-back Initiative" (yoxvjknedd) further supports the high recyclability, indicating a commitment to circular economy principles.</w:t>
      </w:r>
    </w:p>
    <w:bookmarkEnd w:id="43"/>
    <w:bookmarkEnd w:id="44"/>
    <w:bookmarkStart w:id="45" w:name="X299a3717db401fbc63eac38de0814f3ad8939f4"/>
    <w:p>
      <w:pPr>
        <w:pStyle w:val="Heading3"/>
      </w:pPr>
      <w:r>
        <w:t xml:space="preserve">4.4. Total Product Carbon Footprint (PCF)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 per functional unit)</w:t>
            </w:r>
          </w:p>
        </w:tc>
      </w:tr>
      <w:tr>
        <w:tc>
          <w:tcPr/>
          <w:p>
            <w:pPr>
              <w:pStyle w:val="Compact"/>
              <w:jc w:val="left"/>
            </w:pPr>
            <w:r>
              <w:t xml:space="preserve">Purchased Goods &amp; Services (Materials)</w:t>
            </w:r>
          </w:p>
        </w:tc>
        <w:tc>
          <w:tcPr/>
          <w:p>
            <w:pPr>
              <w:pStyle w:val="Compact"/>
              <w:jc w:val="left"/>
            </w:pPr>
            <w:r>
              <w:t xml:space="preserve">Scope 3 (Upstream)</w:t>
            </w:r>
          </w:p>
        </w:tc>
        <w:tc>
          <w:tcPr/>
          <w:p>
            <w:pPr>
              <w:pStyle w:val="Compact"/>
              <w:jc w:val="left"/>
            </w:pPr>
            <w:r>
              <w:t xml:space="preserve">2.95</w:t>
            </w:r>
          </w:p>
        </w:tc>
      </w:tr>
      <w:tr>
        <w:tc>
          <w:tcPr/>
          <w:p>
            <w:pPr>
              <w:pStyle w:val="Compact"/>
              <w:jc w:val="left"/>
            </w:pPr>
            <w:r>
              <w:t xml:space="preserve">Upstream Transportation &amp; Distribution</w:t>
            </w:r>
          </w:p>
        </w:tc>
        <w:tc>
          <w:tcPr/>
          <w:p>
            <w:pPr>
              <w:pStyle w:val="Compact"/>
              <w:jc w:val="left"/>
            </w:pPr>
            <w:r>
              <w:t xml:space="preserve">Scope 3 (Upstream)</w:t>
            </w:r>
          </w:p>
        </w:tc>
        <w:tc>
          <w:tcPr/>
          <w:p>
            <w:pPr>
              <w:pStyle w:val="Compact"/>
              <w:jc w:val="left"/>
            </w:pPr>
            <w:r>
              <w:t xml:space="preserve">0.12</w:t>
            </w:r>
          </w:p>
        </w:tc>
      </w:tr>
      <w:tr>
        <w:tc>
          <w:tcPr/>
          <w:p>
            <w:pPr>
              <w:pStyle w:val="Compact"/>
              <w:jc w:val="left"/>
            </w:pPr>
            <w:r>
              <w:t xml:space="preserve">Production Phase (Purchased Electricity)</w:t>
            </w:r>
          </w:p>
        </w:tc>
        <w:tc>
          <w:tcPr/>
          <w:p>
            <w:pPr>
              <w:pStyle w:val="Compact"/>
              <w:jc w:val="left"/>
            </w:pPr>
            <w:r>
              <w:t xml:space="preserve">Scope 2</w:t>
            </w:r>
          </w:p>
        </w:tc>
        <w:tc>
          <w:tcPr/>
          <w:p>
            <w:pPr>
              <w:pStyle w:val="Compact"/>
              <w:jc w:val="left"/>
            </w:pPr>
            <w:r>
              <w:t xml:space="preserve">3.42</w:t>
            </w:r>
          </w:p>
        </w:tc>
      </w:tr>
      <w:tr>
        <w:tc>
          <w:tcPr/>
          <w:p>
            <w:pPr>
              <w:pStyle w:val="Compact"/>
              <w:jc w:val="left"/>
            </w:pPr>
            <w:r>
              <w:t xml:space="preserve">Downstream Transportation &amp; Distribution</w:t>
            </w:r>
          </w:p>
        </w:tc>
        <w:tc>
          <w:tcPr/>
          <w:p>
            <w:pPr>
              <w:pStyle w:val="Compact"/>
              <w:jc w:val="left"/>
            </w:pPr>
            <w:r>
              <w:t xml:space="preserve">Scope 3 (Downstream)</w:t>
            </w:r>
          </w:p>
        </w:tc>
        <w:tc>
          <w:tcPr/>
          <w:p>
            <w:pPr>
              <w:pStyle w:val="Compact"/>
              <w:jc w:val="left"/>
            </w:pPr>
            <w:r>
              <w:t xml:space="preserve">0.012</w:t>
            </w:r>
          </w:p>
        </w:tc>
      </w:tr>
      <w:tr>
        <w:tc>
          <w:tcPr/>
          <w:p>
            <w:pPr>
              <w:pStyle w:val="Compact"/>
              <w:jc w:val="left"/>
            </w:pPr>
            <w:r>
              <w:t xml:space="preserve">Use of Sold Products</w:t>
            </w:r>
          </w:p>
        </w:tc>
        <w:tc>
          <w:tcPr/>
          <w:p>
            <w:pPr>
              <w:pStyle w:val="Compact"/>
              <w:jc w:val="left"/>
            </w:pPr>
            <w:r>
              <w:t xml:space="preserve">Scope 3 (Downstream)</w:t>
            </w:r>
          </w:p>
        </w:tc>
        <w:tc>
          <w:tcPr/>
          <w:p>
            <w:pPr>
              <w:pStyle w:val="Compact"/>
              <w:jc w:val="left"/>
            </w:pPr>
            <w:r>
              <w:t xml:space="preserve">99.75</w:t>
            </w:r>
          </w:p>
        </w:tc>
      </w:tr>
      <w:tr>
        <w:tc>
          <w:tcPr/>
          <w:p>
            <w:pPr>
              <w:pStyle w:val="Compact"/>
              <w:jc w:val="left"/>
            </w:pPr>
            <w:r>
              <w:t xml:space="preserve">End-of-Life Treatment of Sold Products</w:t>
            </w:r>
          </w:p>
        </w:tc>
        <w:tc>
          <w:tcPr/>
          <w:p>
            <w:pPr>
              <w:pStyle w:val="Compact"/>
              <w:jc w:val="left"/>
            </w:pPr>
            <w:r>
              <w:t xml:space="preserve">Scope 3 (Downstream)</w:t>
            </w:r>
          </w:p>
        </w:tc>
        <w:tc>
          <w:tcPr/>
          <w:p>
            <w:pPr>
              <w:pStyle w:val="Compact"/>
              <w:jc w:val="left"/>
            </w:pPr>
            <w:r>
              <w:t xml:space="preserve">-2.01 (Net avoided emissions)</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104.242</w:t>
            </w:r>
          </w:p>
        </w:tc>
      </w:tr>
    </w:tbl>
    <w:p>
      <w:pPr>
        <w:pStyle w:val="BodyText"/>
      </w:pPr>
      <w:r>
        <w:rPr>
          <w:bCs/>
          <w:b/>
        </w:rPr>
        <w:t xml:space="preserve">The total Product Carbon Footprint for one functional unit of uuwswzwweg is approximately 104.242 kg CO2e.</w:t>
      </w:r>
    </w:p>
    <w:p>
      <w:r>
        <w:pict>
          <v:rect style="width:0;height:1.5pt" o:hralign="center" o:hrstd="t" o:hr="t"/>
        </w:pict>
      </w:r>
    </w:p>
    <w:bookmarkEnd w:id="45"/>
    <w:bookmarkEnd w:id="46"/>
    <w:bookmarkStart w:id="51" w:name="review-report"/>
    <w:p>
      <w:pPr>
        <w:pStyle w:val="Heading2"/>
      </w:pPr>
      <w:r>
        <w:t xml:space="preserve">5. Review &amp; Report</w:t>
      </w:r>
    </w:p>
    <w:bookmarkStart w:id="47" w:name="emission-hotspots"/>
    <w:p>
      <w:pPr>
        <w:pStyle w:val="Heading3"/>
      </w:pPr>
      <w:r>
        <w:t xml:space="preserve">5.1. Emission Hotspots</w:t>
      </w:r>
    </w:p>
    <w:p>
      <w:pPr>
        <w:pStyle w:val="FirstParagraph"/>
      </w:pPr>
      <w:r>
        <w:t xml:space="preserve">The PCF analysis reveals the following emission hotspots:</w:t>
      </w:r>
    </w:p>
    <w:p>
      <w:pPr>
        <w:numPr>
          <w:ilvl w:val="0"/>
          <w:numId w:val="1011"/>
        </w:numPr>
        <w:pStyle w:val="Compact"/>
      </w:pPr>
      <w:r>
        <w:rPr>
          <w:bCs/>
          <w:b/>
        </w:rPr>
        <w:t xml:space="preserve">Use Phase (Scope 3 - Downstream):</w:t>
      </w:r>
      <w:r>
        <w:t xml:space="preserve"> </w:t>
      </w:r>
      <w:r>
        <w:t xml:space="preserve">The most significant contributor to the total PCF, accounting for approximately 99.75 kg CO2e. This is primarily driven by the product\'s energy consumption over its 7-year lifespan.</w:t>
      </w:r>
    </w:p>
    <w:p>
      <w:pPr>
        <w:numPr>
          <w:ilvl w:val="0"/>
          <w:numId w:val="1011"/>
        </w:numPr>
        <w:pStyle w:val="Compact"/>
      </w:pPr>
      <w:r>
        <w:rPr>
          <w:bCs/>
          <w:b/>
        </w:rPr>
        <w:t xml:space="preserve">Production Phase (Scope 2):</w:t>
      </w:r>
      <w:r>
        <w:t xml:space="preserve"> </w:t>
      </w:r>
      <w:r>
        <w:t xml:space="preserve">Manufacturing electricity consumption contributes 3.42 kg CO2e, even with 60% renewable energy usage. The remaining 40% relies on the China grid mix, which has a notable emission factor.</w:t>
      </w:r>
    </w:p>
    <w:p>
      <w:pPr>
        <w:numPr>
          <w:ilvl w:val="0"/>
          <w:numId w:val="1011"/>
        </w:numPr>
        <w:pStyle w:val="Compact"/>
      </w:pPr>
      <w:r>
        <w:rPr>
          <w:bCs/>
          <w:b/>
        </w:rPr>
        <w:t xml:space="preserve">Materials (Scope 3 - Upstream):</w:t>
      </w:r>
      <w:r>
        <w:t xml:space="preserve"> </w:t>
      </w:r>
      <w:r>
        <w:t xml:space="preserve">Material acquisition and processing contribute 2.95 kg CO2e, highlighting the impact of components like the plastic casing, circuit board, and battery.</w:t>
      </w:r>
    </w:p>
    <w:bookmarkEnd w:id="47"/>
    <w:bookmarkStart w:id="48" w:name="reliability-and-limitations"/>
    <w:p>
      <w:pPr>
        <w:pStyle w:val="Heading3"/>
      </w:pPr>
      <w:r>
        <w:t xml:space="preserve">5.2. Reliability and Limitations</w:t>
      </w:r>
    </w:p>
    <w:p>
      <w:pPr>
        <w:pStyle w:val="FirstParagraph"/>
      </w:pPr>
      <w:r>
        <w:t xml:space="preserve">The reliability of this report is high given the utilization of provided detailed parameters. However, certain limitations exist:</w:t>
      </w:r>
    </w:p>
    <w:p>
      <w:pPr>
        <w:numPr>
          <w:ilvl w:val="0"/>
          <w:numId w:val="1012"/>
        </w:numPr>
        <w:pStyle w:val="Compact"/>
      </w:pPr>
      <w:r>
        <w:rPr>
          <w:bCs/>
          <w:b/>
        </w:rPr>
        <w:t xml:space="preserve">Emission Factors:</w:t>
      </w:r>
      <w:r>
        <w:t xml:space="preserve"> </w:t>
      </w:r>
      <w:r>
        <w:t xml:space="preserve">While industry-standard emission factors were used (e.g., for transport, electricity grid, landfill), these are generic averages. Product-specific or supplier-specific primary data for all processes would further enhance accuracy.</w:t>
      </w:r>
    </w:p>
    <w:p>
      <w:pPr>
        <w:numPr>
          <w:ilvl w:val="0"/>
          <w:numId w:val="1012"/>
        </w:numPr>
        <w:pStyle w:val="Compact"/>
      </w:pPr>
      <w:r>
        <w:rPr>
          <w:bCs/>
          <w:b/>
        </w:rPr>
        <w:t xml:space="preserve">Placeholder Data:</w:t>
      </w:r>
      <w:r>
        <w:t xml:space="preserve"> </w:t>
      </w:r>
      <w:r>
        <w:t xml:space="preserve">Numerical values for parameters like `dgqsfotqep`, `skifkgpmjp`, `lwiwwnhnyt`, `oklgleqyee`, `yunlyteeih`, `sxeqszrjht` were interpreted from the provided strings. Any misinterpretation would affect the results.</w:t>
      </w:r>
    </w:p>
    <w:p>
      <w:pPr>
        <w:numPr>
          <w:ilvl w:val="0"/>
          <w:numId w:val="1012"/>
        </w:numPr>
        <w:pStyle w:val="Compact"/>
      </w:pPr>
      <w:r>
        <w:rPr>
          <w:bCs/>
          <w:b/>
        </w:rPr>
        <w:t xml:space="preserve">System Boundary:</w:t>
      </w:r>
      <w:r>
        <w:t xml:space="preserve"> </w:t>
      </w:r>
      <w:r>
        <w:t xml:space="preserve">While downstream emissions are considered, a more exhaustive "cradle-to-grave" study might involve further granular data points for each stage.</w:t>
      </w:r>
    </w:p>
    <w:p>
      <w:pPr>
        <w:numPr>
          <w:ilvl w:val="0"/>
          <w:numId w:val="1012"/>
        </w:numPr>
        <w:pStyle w:val="Compact"/>
      </w:pPr>
      <w:r>
        <w:rPr>
          <w:bCs/>
          <w:b/>
        </w:rPr>
        <w:t xml:space="preserve">LSR Standard:</w:t>
      </w:r>
      <w:r>
        <w:t xml:space="preserve"> </w:t>
      </w:r>
      <w:r>
        <w:t xml:space="preserve">The 2026 LSR Standard\'s full implementation details and accompanying guidance are still emerging. This report\'s application is based on current understanding and will be refined as more specific guidance becomes available.</w:t>
      </w:r>
    </w:p>
    <w:p>
      <w:pPr>
        <w:numPr>
          <w:ilvl w:val="0"/>
          <w:numId w:val="1012"/>
        </w:numPr>
        <w:pStyle w:val="Compact"/>
      </w:pPr>
      <w:r>
        <w:rPr>
          <w:bCs/>
          <w:b/>
        </w:rPr>
        <w:t xml:space="preserve">Scope 3 Coverage:</w:t>
      </w:r>
      <w:r>
        <w:t xml:space="preserve"> </w:t>
      </w:r>
      <w:r>
        <w:t xml:space="preserve">While aiming for 95% coverage, the full extent of Scope 3 categories (e.g., capital goods, employee commuting, business travel) was not explicitly detailed in the provided parameters and has been focused on the most material categories based on the product\'s nature.</w:t>
      </w:r>
    </w:p>
    <w:bookmarkEnd w:id="48"/>
    <w:bookmarkStart w:id="50" w:name="recommendations-for-reduction"/>
    <w:p>
      <w:pPr>
        <w:pStyle w:val="Heading3"/>
      </w:pPr>
      <w:r>
        <w:t xml:space="preserve">5.3. Recommendations for Reduction</w:t>
      </w:r>
    </w:p>
    <w:p>
      <w:pPr>
        <w:pStyle w:val="FirstParagraph"/>
      </w:pPr>
      <w:r>
        <w:t xml:space="preserve">Based on the hotspot analysis, the following recommendations are provided to sktfkjzmlt to reduce the PCF of uuwswzwweg:</w:t>
      </w:r>
    </w:p>
    <w:p>
      <w:pPr>
        <w:numPr>
          <w:ilvl w:val="0"/>
          <w:numId w:val="1013"/>
        </w:numPr>
        <w:pStyle w:val="Compact"/>
      </w:pPr>
      <w:r>
        <w:rPr>
          <w:bCs/>
          <w:b/>
        </w:rPr>
        <w:t xml:space="preserve">Optimize Use Phase Efficiency:</w:t>
      </w:r>
      <w:r>
        <w:t xml:space="preserve"> </w:t>
      </w:r>
      <w:r>
        <w:t xml:space="preserve">Given the significant impact of the use phase, focus on reducing the product\'s energy consumption (yunlyteeih) through design improvements, energy-efficient components, and user behavior guidance. Exploring partnerships with renewable energy providers for end-users could also be beneficial.</w:t>
      </w:r>
    </w:p>
    <w:p>
      <w:pPr>
        <w:numPr>
          <w:ilvl w:val="0"/>
          <w:numId w:val="1013"/>
        </w:numPr>
        <w:pStyle w:val="Compact"/>
      </w:pPr>
      <w:r>
        <w:rPr>
          <w:bCs/>
          <w:b/>
        </w:rPr>
        <w:t xml:space="preserve">Increase Renewable Energy Sourcing:</w:t>
      </w:r>
      <w:r>
        <w:t xml:space="preserve"> </w:t>
      </w:r>
      <w:r>
        <w:t xml:space="preserve">While 60% renewable energy is commendable, increasing this percentage in the production facility would directly reduce Scope 2 emissions. Investing in on-site renewables or purchasing high-quality renewable energy certificates can further decarbonize manufacturing.</w:t>
      </w:r>
    </w:p>
    <w:p>
      <w:pPr>
        <w:numPr>
          <w:ilvl w:val="0"/>
          <w:numId w:val="1013"/>
        </w:numPr>
        <w:pStyle w:val="Compact"/>
      </w:pPr>
      <w:r>
        <w:rPr>
          <w:bCs/>
          <w:b/>
        </w:rPr>
        <w:t xml:space="preserve">Material Optimization:</w:t>
      </w:r>
      <w:r>
        <w:t xml:space="preserve"> </w:t>
      </w:r>
      <w:r>
        <w:t xml:space="preserve">Investigate alternative materials with lower embodied carbon footprints for the plastic casing, circuit board, and battery without compromising product performance. Engaging with suppliers to understand and reduce their own upstream emissions (Scope 3 for sktfkjzmlt) is crucial.</w:t>
      </w:r>
    </w:p>
    <w:p>
      <w:pPr>
        <w:numPr>
          <w:ilvl w:val="0"/>
          <w:numId w:val="1013"/>
        </w:numPr>
        <w:pStyle w:val="Compact"/>
      </w:pPr>
      <w:r>
        <w:rPr>
          <w:bCs/>
          <w:b/>
        </w:rPr>
        <w:t xml:space="preserve">Enhance Circularity:</w:t>
      </w:r>
      <w:r>
        <w:t xml:space="preserve"> </w:t>
      </w:r>
      <w:r>
        <w:t xml:space="preserve">Continue to strengthen the "sktfkjzmlt\'s Product Take-back Initiative" to maximize the actual recycling and reuse rates, reducing reliance on virgin materials and minimizing landfill waste. Explore possibilities for product longevity and modular design to facilitate repair and upgrades.</w:t>
      </w:r>
    </w:p>
    <w:p>
      <w:pPr>
        <w:numPr>
          <w:ilvl w:val="0"/>
          <w:numId w:val="1013"/>
        </w:numPr>
        <w:pStyle w:val="Compact"/>
      </w:pPr>
      <w:r>
        <w:rPr>
          <w:bCs/>
          <w:b/>
        </w:rPr>
        <w:t xml:space="preserve">Supplier Engagement:</w:t>
      </w:r>
      <w:r>
        <w:t xml:space="preserve"> </w:t>
      </w:r>
      <w:r>
        <w:t xml:space="preserve">Work closely with material and component suppliers, especially for high-impact items like the circuit board and battery, to encourage them to adopt more sustainable manufacturing processes and provide primary emissions data.</w:t>
      </w:r>
    </w:p>
    <w:p>
      <w:r>
        <w:pict>
          <v:rect style="width:0;height:1.5pt" o:hralign="center" o:hrstd="t" o:hr="t"/>
        </w:pict>
      </w:r>
    </w:p>
    <w:p>
      <w:pPr>
        <w:pStyle w:val="FirstParagraph"/>
      </w:pPr>
      <w:r>
        <w:t xml:space="preserve">Confidential - Internal Use Only | Page</w:t>
      </w:r>
      <w:r>
        <w:t xml:space="preserve"> </w:t>
      </w:r>
      <w:bookmarkStart w:id="49" w:name="pageNumber"/>
      <w:bookmarkEnd w:id="49"/>
    </w:p>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uuwswzwweg</dc:title>
  <dc:creator/>
  <dc:description>High-detail Product Carbon Footprint (PCF) analysis for uuwswzwweg by jwvkjqovgq, Senior Sustainability Consultant, adhering to GHG Protocol and 2026 LSR updates.</dc:description>
  <dc:language>en</dc:language>
  <cp:keywords/>
  <dcterms:created xsi:type="dcterms:W3CDTF">2026-07-14T23:44:58Z</dcterms:created>
  <dcterms:modified xsi:type="dcterms:W3CDTF">2026-07-14T23:44:58Z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