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uutzwxplrh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uutzwxplrh</w:t>
      </w:r>
    </w:p>
    <w:p>
      <w:pPr>
        <w:pStyle w:val="BodyText"/>
      </w:pPr>
      <w:r>
        <w:rPr>
          <w:bCs/>
          <w:b/>
        </w:rPr>
        <w:t xml:space="preserve">Company:</w:t>
      </w:r>
      <w:r>
        <w:t xml:space="preserve"> </w:t>
      </w:r>
      <w:r>
        <w:t xml:space="preserve">hpzfgldyyl</w:t>
      </w:r>
    </w:p>
    <w:p>
      <w:pPr>
        <w:pStyle w:val="BodyText"/>
      </w:pPr>
      <w:r>
        <w:rPr>
          <w:bCs/>
          <w:b/>
        </w:rPr>
        <w:t xml:space="preserve">Senior Sustainability Consultant:</w:t>
      </w:r>
      <w:r>
        <w:t xml:space="preserve"> </w:t>
      </w:r>
      <w:r>
        <w:t xml:space="preserve">qnmughqydq</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While efforts have been made to ensure accuracy, the actual carbon footprint may vary based on real-time operational specifics and further detailed primary data collection. Assumptions are explicitly stated where primary data was unavailable.</w:t>
      </w:r>
    </w:p>
    <w:bookmarkEnd w:id="20"/>
    <w:bookmarkStart w:id="21" w:name="X282e8939587f81ab549df7f9fca8a9934df8d07"/>
    <w:p>
      <w:pPr>
        <w:pStyle w:val="Heading1"/>
      </w:pPr>
      <w:r>
        <w:t xml:space="preserve">Product Carbon Footprint Analysis for uutzwxplrh</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uutzwxplrh</w:t>
      </w:r>
      <w:r>
        <w:t xml:space="preserve">, manufactured by</w:t>
      </w:r>
      <w:r>
        <w:t xml:space="preserve"> </w:t>
      </w:r>
      <w:r>
        <w:rPr>
          <w:bCs/>
          <w:b/>
        </w:rPr>
        <w:t xml:space="preserve">hpzfgldyyl</w:t>
      </w:r>
      <w:r>
        <w:t xml:space="preserve">. The analysis was conducted by</w:t>
      </w:r>
      <w:r>
        <w:t xml:space="preserve"> </w:t>
      </w:r>
      <w:r>
        <w:rPr>
          <w:bCs/>
          <w:b/>
        </w:rPr>
        <w:t xml:space="preserve">qnmughqydq</w:t>
      </w:r>
      <w:r>
        <w:t xml:space="preserve">, Senior Sustainability Consultant, adhering strictly to the GHG Protocol Corporate Standard, including considerations for the 2026 Land Sector and Removals (LSR) Standard update and stringent Scope 3 coverage requirements. The PCF quantifies the total greenhouse gas (GHG) emissions associated with the product\'s entire lifecycle, from raw material extraction through manufacturing, transport, use, and end-of-life. This assessment aims to identify emission hotspots, inform sustainability strategies, and support hpzfgldyyl\'s commitment to environmental stewardship.</w:t>
      </w:r>
    </w:p>
    <w:p>
      <w:r>
        <w:pict>
          <v:rect style="width:0;height:1.5pt" o:hralign="center" o:hrstd="t" o:hr="t"/>
        </w:pict>
      </w:r>
    </w:p>
    <w:bookmarkEnd w:id="22"/>
    <w:bookmarkStart w:id="31" w:name="methodology-and-scope-definition"/>
    <w:p>
      <w:pPr>
        <w:pStyle w:val="Heading2"/>
      </w:pPr>
      <w:r>
        <w:t xml:space="preserve">2. Methodology and Scope Definition</w:t>
      </w:r>
    </w:p>
    <w:p>
      <w:pPr>
        <w:pStyle w:val="FirstParagraph"/>
      </w:pPr>
      <w:r>
        <w:t xml:space="preserve">The Product Carbon Footprint (PCF) analysis for uutzwxplrh follows a structured, five-step methodology as prescribed by the GHG Protocol, ensuring transparency, consistency, and accuracy.</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uutzwxplrh</w:t>
      </w:r>
      <w:r>
        <w:t xml:space="preserve">, providing a standardized basis for quantification and comparison.</w:t>
      </w:r>
    </w:p>
    <w:p>
      <w:pPr>
        <w:numPr>
          <w:ilvl w:val="0"/>
          <w:numId w:val="1001"/>
        </w:numPr>
        <w:pStyle w:val="Compact"/>
      </w:pPr>
      <w:r>
        <w:rPr>
          <w:bCs/>
          <w:b/>
        </w:rPr>
        <w:t xml:space="preserve">System Boundary:</w:t>
      </w:r>
      <w:r>
        <w:t xml:space="preserve"> </w:t>
      </w:r>
      <w:r>
        <w:t xml:space="preserve">While the direct production boundary for emissions is considered at "factory_gate", the overall PCF analysis adopts a comprehensive "cradle-to-grave" approach. This includes raw material acquisition, manufacturing, primary and secondary transportation, distribution, the product\'s use phase, and its end-of-life treatment. This expanded boundary is necessary to capture all relevant lifecycle impacts as per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primary distribution markets and upstream material sourcing considerations).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Corporate Standard</w:t>
      </w:r>
      <w:r>
        <w:t xml:space="preserve">, categorizing emissions into Scope 1, Scope 2, and Scope 3. It also incorporates the principles of the</w:t>
      </w:r>
      <w:r>
        <w:t xml:space="preserve"> </w:t>
      </w:r>
      <w:r>
        <w:rPr>
          <w:bCs/>
          <w:b/>
        </w:rPr>
        <w:t xml:space="preserve">2026 Land Sector and Removals (LSR) Standard</w:t>
      </w:r>
      <w:r>
        <w:t xml:space="preserve"> </w:t>
      </w:r>
      <w:r>
        <w:t xml:space="preserve">for relevant land use and carbon removal considerations, although direct land use emissions for this product are assumed to be minimal unless tied to specific raw material origins not detailed in the BOM.</w:t>
      </w:r>
    </w:p>
    <w:p>
      <w:pPr>
        <w:numPr>
          <w:ilvl w:val="0"/>
          <w:numId w:val="1001"/>
        </w:numPr>
        <w:pStyle w:val="Compact"/>
      </w:pPr>
      <w:r>
        <w:rPr>
          <w:bCs/>
          <w:b/>
        </w:rPr>
        <w:t xml:space="preserve">Allocation:</w:t>
      </w:r>
      <w:r>
        <w:t xml:space="preserve"> </w:t>
      </w:r>
      <w:r>
        <w:t xml:space="preserve">Where co-products or waste streams occur, allocation of emissions is performed based on mass. For end-of-life scenarios, a recyclability percentage is used to determine emissions reductions or burdens.</w:t>
      </w:r>
    </w:p>
    <w:bookmarkEnd w:id="23"/>
    <w:bookmarkStart w:id="29" w:name="Xef2cad8b6715bfd9664e6ec6d96ac44c4a46fb4"/>
    <w:p>
      <w:pPr>
        <w:pStyle w:val="Heading3"/>
      </w:pPr>
      <w:r>
        <w:t xml:space="preserve">2.2. Step 2: Map Lifecycle (LCI Inventory Stages)</w:t>
      </w:r>
    </w:p>
    <w:p>
      <w:pPr>
        <w:pStyle w:val="FirstParagraph"/>
      </w:pPr>
      <w:r>
        <w:t xml:space="preserve">The lifecycle of uutzwxplrh has been mapped into the following stages, outlining the inventory of materials and energy flows.</w:t>
      </w:r>
    </w:p>
    <w:bookmarkStart w:id="24" w:name="detailed-bill-of-materials-bom-analysis"/>
    <w:p>
      <w:pPr>
        <w:pStyle w:val="Heading4"/>
      </w:pPr>
      <w:r>
        <w:t xml:space="preserve">2.2.1. Detailed Bill of Materials (BOM) Analysis</w:t>
      </w:r>
    </w:p>
    <w:p>
      <w:pPr>
        <w:pStyle w:val="FirstParagraph"/>
      </w:pPr>
      <w:r>
        <w:t xml:space="preserve">The following Bill of Materials (BOM) data, designated as `ndzhskzh`, has been used for high-accuracy material impact calculation. Emission factors used are representative industry averages (e.g., from Ecoinvent/DEFRA databases) for the specified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3.2</w:t>
            </w:r>
          </w:p>
        </w:tc>
        <w:tc>
          <w:tcPr/>
          <w:p>
            <w:pPr>
              <w:pStyle w:val="Compact"/>
              <w:jc w:val="left"/>
            </w:pPr>
            <w:r>
              <w:t xml:space="preserve">4.80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8.5</w:t>
            </w:r>
          </w:p>
        </w:tc>
        <w:tc>
          <w:tcPr/>
          <w:p>
            <w:pPr>
              <w:pStyle w:val="Compact"/>
              <w:jc w:val="left"/>
            </w:pPr>
            <w:r>
              <w:t xml:space="preserve">6.80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22.30</w:t>
            </w:r>
          </w:p>
        </w:tc>
      </w:tr>
    </w:tbl>
    <w:bookmarkEnd w:id="24"/>
    <w:bookmarkStart w:id="25" w:name="energy-inputs-production-phase"/>
    <w:p>
      <w:pPr>
        <w:pStyle w:val="Heading4"/>
      </w:pPr>
      <w:r>
        <w:t xml:space="preserve">2.2.2. Energy Inputs (Production Phase)</w:t>
      </w:r>
    </w:p>
    <w:p>
      <w:pPr>
        <w:numPr>
          <w:ilvl w:val="0"/>
          <w:numId w:val="1003"/>
        </w:numPr>
        <w:pStyle w:val="Compact"/>
      </w:pPr>
      <w:r>
        <w:rPr>
          <w:bCs/>
          <w:b/>
        </w:rPr>
        <w:t xml:space="preserve">Energy Intensity (kWh/unit):</w:t>
      </w:r>
      <w:r>
        <w:t xml:space="preserve"> </w:t>
      </w:r>
      <w:r>
        <w:t xml:space="preserve">qedloegwhq (Assumed as 50 kWh/unit)</w:t>
      </w:r>
    </w:p>
    <w:p>
      <w:pPr>
        <w:numPr>
          <w:ilvl w:val="0"/>
          <w:numId w:val="1003"/>
        </w:numPr>
        <w:pStyle w:val="Compact"/>
      </w:pPr>
      <w:r>
        <w:rPr>
          <w:bCs/>
          <w:b/>
        </w:rPr>
        <w:t xml:space="preserve">Renewable Energy Usage:</w:t>
      </w:r>
      <w:r>
        <w:t xml:space="preserve"> </w:t>
      </w:r>
      <w:r>
        <w:t xml:space="preserve">unelgowsol (Assumed as 70% for the production facility in China)</w:t>
      </w:r>
    </w:p>
    <w:p>
      <w:pPr>
        <w:numPr>
          <w:ilvl w:val="0"/>
          <w:numId w:val="1003"/>
        </w:numPr>
        <w:pStyle w:val="Compact"/>
      </w:pPr>
      <w:r>
        <w:rPr>
          <w:bCs/>
          <w:b/>
        </w:rPr>
        <w:t xml:space="preserve">Grid Electricity Emission Factor (China average):</w:t>
      </w:r>
      <w:r>
        <w:t xml:space="preserve"> </w:t>
      </w:r>
      <w:r>
        <w:t xml:space="preserve">0.7 kg CO2e/kWh (Assumed baseline before renewable adjustment)</w:t>
      </w:r>
    </w:p>
    <w:bookmarkEnd w:id="25"/>
    <w:bookmarkStart w:id="26" w:name="logistics-data"/>
    <w:p>
      <w:pPr>
        <w:pStyle w:val="Heading4"/>
      </w:pPr>
      <w:r>
        <w:t xml:space="preserve">2.2.3. Logistics Data</w:t>
      </w:r>
    </w:p>
    <w:p>
      <w:pPr>
        <w:numPr>
          <w:ilvl w:val="0"/>
          <w:numId w:val="1004"/>
        </w:numPr>
        <w:pStyle w:val="Compact"/>
      </w:pPr>
      <w:r>
        <w:rPr>
          <w:bCs/>
          <w:b/>
        </w:rPr>
        <w:t xml:space="preserve">Primary Transport Mode:</w:t>
      </w:r>
      <w:r>
        <w:t xml:space="preserve"> </w:t>
      </w:r>
      <w:r>
        <w:t xml:space="preserve">Select Mode (Assumed as Sea Freight - Container Ship)</w:t>
      </w:r>
    </w:p>
    <w:p>
      <w:pPr>
        <w:numPr>
          <w:ilvl w:val="0"/>
          <w:numId w:val="1004"/>
        </w:numPr>
        <w:pStyle w:val="Compact"/>
      </w:pPr>
      <w:r>
        <w:rPr>
          <w:bCs/>
          <w:b/>
        </w:rPr>
        <w:t xml:space="preserve">Primary Transport Distance:</w:t>
      </w:r>
      <w:r>
        <w:t xml:space="preserve"> </w:t>
      </w:r>
      <w:r>
        <w:t xml:space="preserve">fpimfuzkfw (Assumed as 15,000 km, e.g., China to Europe Hub)</w:t>
      </w:r>
    </w:p>
    <w:p>
      <w:pPr>
        <w:numPr>
          <w:ilvl w:val="0"/>
          <w:numId w:val="1004"/>
        </w:numPr>
        <w:pStyle w:val="Compact"/>
      </w:pPr>
      <w:r>
        <w:rPr>
          <w:bCs/>
          <w:b/>
        </w:rPr>
        <w:t xml:space="preserve">Secondary Transport Mode:</w:t>
      </w:r>
      <w:r>
        <w:t xml:space="preserve"> </w:t>
      </w:r>
      <w:r>
        <w:t xml:space="preserve">Road - Heavy Goods Vehicle (HGV)</w:t>
      </w:r>
    </w:p>
    <w:p>
      <w:pPr>
        <w:numPr>
          <w:ilvl w:val="0"/>
          <w:numId w:val="1004"/>
        </w:numPr>
        <w:pStyle w:val="Compact"/>
      </w:pPr>
      <w:r>
        <w:rPr>
          <w:bCs/>
          <w:b/>
        </w:rPr>
        <w:t xml:space="preserve">Secondary Transport Distance:</w:t>
      </w:r>
      <w:r>
        <w:t xml:space="preserve"> </w:t>
      </w:r>
      <w:r>
        <w:t xml:space="preserve">500 km (e.g., European hub to distribution center)</w:t>
      </w:r>
    </w:p>
    <w:p>
      <w:pPr>
        <w:numPr>
          <w:ilvl w:val="0"/>
          <w:numId w:val="1004"/>
        </w:numPr>
        <w:pStyle w:val="Compact"/>
      </w:pPr>
      <w:r>
        <w:rPr>
          <w:bCs/>
          <w:b/>
        </w:rPr>
        <w:t xml:space="preserve">Last-Mile Delivery Channel:</w:t>
      </w:r>
      <w:r>
        <w:t xml:space="preserve"> </w:t>
      </w:r>
      <w:r>
        <w:t xml:space="preserve">Delivery Type (Assumed as Road - Light Commercial Vehicle (Van))</w:t>
      </w:r>
    </w:p>
    <w:p>
      <w:pPr>
        <w:numPr>
          <w:ilvl w:val="0"/>
          <w:numId w:val="1004"/>
        </w:numPr>
        <w:pStyle w:val="Compact"/>
      </w:pPr>
      <w:r>
        <w:rPr>
          <w:bCs/>
          <w:b/>
        </w:rPr>
        <w:t xml:space="preserve">Last-Mile Delivery Distance:</w:t>
      </w:r>
      <w:r>
        <w:t xml:space="preserve"> </w:t>
      </w:r>
      <w:r>
        <w:t xml:space="preserve">100 km (e.g., distribution center to end-user)</w:t>
      </w:r>
    </w:p>
    <w:p>
      <w:pPr>
        <w:pStyle w:val="FirstParagraph"/>
      </w:pPr>
      <w:r>
        <w:rPr>
          <w:iCs/>
          <w:i/>
        </w:rPr>
        <w:t xml:space="preserve">Note: An average product weight of 3.4 kg (sum of BOM items, excluding packaging for transport calculation) is used for transport calculations, assuming a proportional load factor.</w:t>
      </w:r>
    </w:p>
    <w:p>
      <w:pPr>
        <w:numPr>
          <w:ilvl w:val="0"/>
          <w:numId w:val="1005"/>
        </w:numPr>
        <w:pStyle w:val="Compact"/>
      </w:pPr>
      <w:r>
        <w:rPr>
          <w:bCs/>
          <w:b/>
        </w:rPr>
        <w:t xml:space="preserve">Sea Freight Emission Factor:</w:t>
      </w:r>
      <w:r>
        <w:t xml:space="preserve"> </w:t>
      </w:r>
      <w:r>
        <w:t xml:space="preserve">0.01 kg CO2e/tonne-km</w:t>
      </w:r>
    </w:p>
    <w:p>
      <w:pPr>
        <w:numPr>
          <w:ilvl w:val="0"/>
          <w:numId w:val="1005"/>
        </w:numPr>
        <w:pStyle w:val="Compact"/>
      </w:pPr>
      <w:r>
        <w:rPr>
          <w:bCs/>
          <w:b/>
        </w:rPr>
        <w:t xml:space="preserve">Road Freight (HGV) Emission Factor:</w:t>
      </w:r>
      <w:r>
        <w:t xml:space="preserve"> </w:t>
      </w:r>
      <w:r>
        <w:t xml:space="preserve">0.08 kg CO2e/tonne-km</w:t>
      </w:r>
    </w:p>
    <w:p>
      <w:pPr>
        <w:numPr>
          <w:ilvl w:val="0"/>
          <w:numId w:val="1005"/>
        </w:numPr>
        <w:pStyle w:val="Compact"/>
      </w:pPr>
      <w:r>
        <w:rPr>
          <w:bCs/>
          <w:b/>
        </w:rPr>
        <w:t xml:space="preserve">Road Freight (Van/LCV) Emission Factor:</w:t>
      </w:r>
      <w:r>
        <w:t xml:space="preserve"> </w:t>
      </w:r>
      <w:r>
        <w:t xml:space="preserve">0.25 kg CO2e/tonne-km</w:t>
      </w:r>
    </w:p>
    <w:bookmarkEnd w:id="26"/>
    <w:bookmarkStart w:id="27" w:name="use-phase-data"/>
    <w:p>
      <w:pPr>
        <w:pStyle w:val="Heading4"/>
      </w:pPr>
      <w:r>
        <w:t xml:space="preserve">2.2.4. Use Phase Data</w:t>
      </w:r>
    </w:p>
    <w:p>
      <w:pPr>
        <w:numPr>
          <w:ilvl w:val="0"/>
          <w:numId w:val="1006"/>
        </w:numPr>
        <w:pStyle w:val="Compact"/>
      </w:pPr>
      <w:r>
        <w:rPr>
          <w:bCs/>
          <w:b/>
        </w:rPr>
        <w:t xml:space="preserve">Product Lifespan:</w:t>
      </w:r>
      <w:r>
        <w:t xml:space="preserve"> </w:t>
      </w:r>
      <w:r>
        <w:t xml:space="preserve">oquzknhyfp (Assumed as 5 years)</w:t>
      </w:r>
    </w:p>
    <w:p>
      <w:pPr>
        <w:numPr>
          <w:ilvl w:val="0"/>
          <w:numId w:val="1006"/>
        </w:numPr>
        <w:pStyle w:val="Compact"/>
      </w:pPr>
      <w:r>
        <w:rPr>
          <w:bCs/>
          <w:b/>
        </w:rPr>
        <w:t xml:space="preserve">Energy Consumption in Use (Annual):</w:t>
      </w:r>
      <w:r>
        <w:t xml:space="preserve"> </w:t>
      </w:r>
      <w:r>
        <w:t xml:space="preserve">ilpzsqtuts (Assumed as 10 kWh/year)</w:t>
      </w:r>
    </w:p>
    <w:p>
      <w:pPr>
        <w:numPr>
          <w:ilvl w:val="0"/>
          <w:numId w:val="1006"/>
        </w:numPr>
        <w:pStyle w:val="Compact"/>
      </w:pPr>
      <w:r>
        <w:rPr>
          <w:bCs/>
          <w:b/>
        </w:rPr>
        <w:t xml:space="preserve">Electricity Emission Factor (End-user region, Europe average):</w:t>
      </w:r>
      <w:r>
        <w:t xml:space="preserve"> </w:t>
      </w:r>
      <w:r>
        <w:t xml:space="preserve">0.25 kg CO2e/kWh</w:t>
      </w:r>
    </w:p>
    <w:bookmarkEnd w:id="27"/>
    <w:bookmarkStart w:id="28" w:name="end-of-life-eol-scenarios"/>
    <w:p>
      <w:pPr>
        <w:pStyle w:val="Heading4"/>
      </w:pPr>
      <w:r>
        <w:t xml:space="preserve">2.2.5. End-of-Life (EoL) Scenarios</w:t>
      </w:r>
    </w:p>
    <w:p>
      <w:pPr>
        <w:numPr>
          <w:ilvl w:val="0"/>
          <w:numId w:val="1007"/>
        </w:numPr>
        <w:pStyle w:val="Compact"/>
      </w:pPr>
      <w:r>
        <w:rPr>
          <w:bCs/>
          <w:b/>
        </w:rPr>
        <w:t xml:space="preserve">Recyclability Percentage:</w:t>
      </w:r>
      <w:r>
        <w:t xml:space="preserve"> </w:t>
      </w:r>
      <w:r>
        <w:t xml:space="preserve">tmlfktfvwe (Assumed as 80%)</w:t>
      </w:r>
    </w:p>
    <w:p>
      <w:pPr>
        <w:numPr>
          <w:ilvl w:val="0"/>
          <w:numId w:val="1007"/>
        </w:numPr>
        <w:pStyle w:val="Compact"/>
      </w:pPr>
      <w:r>
        <w:rPr>
          <w:bCs/>
          <w:b/>
        </w:rPr>
        <w:t xml:space="preserve">Circular/Take-back Programs:</w:t>
      </w:r>
      <w:r>
        <w:t xml:space="preserve"> </w:t>
      </w:r>
      <w:r>
        <w:t xml:space="preserve">uxyqsvxhuq (Assumed as "Yes, operational take-back program in key European markets, effectively facilitating material recovery.")</w:t>
      </w:r>
    </w:p>
    <w:p>
      <w:pPr>
        <w:numPr>
          <w:ilvl w:val="0"/>
          <w:numId w:val="1007"/>
        </w:numPr>
        <w:pStyle w:val="Compact"/>
      </w:pPr>
      <w:r>
        <w:rPr>
          <w:bCs/>
          <w:b/>
        </w:rPr>
        <w:t xml:space="preserve">Waste to Landfill Emission Factor:</w:t>
      </w:r>
      <w:r>
        <w:t xml:space="preserve"> </w:t>
      </w:r>
      <w:r>
        <w:t xml:space="preserve">0.5 kg CO2e/kg (for non-recyclable parts)</w:t>
      </w:r>
    </w:p>
    <w:p>
      <w:pPr>
        <w:numPr>
          <w:ilvl w:val="0"/>
          <w:numId w:val="1007"/>
        </w:numPr>
        <w:pStyle w:val="Compact"/>
      </w:pPr>
      <w:r>
        <w:rPr>
          <w:bCs/>
          <w:b/>
        </w:rPr>
        <w:t xml:space="preserve">Recycling Credit Factor:</w:t>
      </w:r>
      <w:r>
        <w:t xml:space="preserve"> </w:t>
      </w:r>
      <w:r>
        <w:t xml:space="preserve">-1.0 kg CO2e/kg (simplified average credit for recovered materials replacing virgin production)</w:t>
      </w:r>
    </w:p>
    <w:bookmarkEnd w:id="28"/>
    <w:bookmarkEnd w:id="29"/>
    <w:bookmarkStart w:id="30" w:name="X46460218b75090116924b5e02e281dcf8597f63"/>
    <w:p>
      <w:pPr>
        <w:pStyle w:val="Heading3"/>
      </w:pPr>
      <w:r>
        <w:t xml:space="preserve">2.3. Step 3: Collect Data (Primary/Secondary Data Points)</w:t>
      </w:r>
    </w:p>
    <w:p>
      <w:pPr>
        <w:pStyle w:val="FirstParagraph"/>
      </w:pPr>
      <w:r>
        <w:t xml:space="preserve">Data collection involved a mix of primary and secondary data sources:</w:t>
      </w:r>
    </w:p>
    <w:p>
      <w:pPr>
        <w:numPr>
          <w:ilvl w:val="0"/>
          <w:numId w:val="1008"/>
        </w:numPr>
        <w:pStyle w:val="Compact"/>
      </w:pPr>
      <w:r>
        <w:rPr>
          <w:bCs/>
          <w:b/>
        </w:rPr>
        <w:t xml:space="preserve">Primary Data:</w:t>
      </w:r>
      <w:r>
        <w:t xml:space="preserve"> </w:t>
      </w:r>
      <w:r>
        <w:t xml:space="preserve">Provided parameters for company name, consultant, product name, BOM (structure), transport distances (as placeholders), energy usage (as placeholders), product lifespan (as placeholders), EoL parameters (as placeholders). Production energy intensity and renewable energy usage were treated as primary operational data points.</w:t>
      </w:r>
    </w:p>
    <w:p>
      <w:pPr>
        <w:numPr>
          <w:ilvl w:val="0"/>
          <w:numId w:val="1008"/>
        </w:numPr>
        <w:pStyle w:val="Compact"/>
      </w:pPr>
      <w:r>
        <w:rPr>
          <w:bCs/>
          <w:b/>
        </w:rPr>
        <w:t xml:space="preserve">Secondary Data:</w:t>
      </w:r>
      <w:r>
        <w:t xml:space="preserve"> </w:t>
      </w:r>
      <w:r>
        <w:t xml:space="preserve">Industry-standard emission factors for materials, energy grids (China and Europe average), and transportation modes were sourced from widely recognized databases (e.g., Ecoinvent, DEFRA, IPCC guidelines) to calculate emissions where specific factors were not provided. Assumptions for placeholder values (e.g., `fpimfuzkfw` for distance) were made based on typical industry scenarios and clearly noted.</w:t>
      </w:r>
    </w:p>
    <w:p>
      <w:r>
        <w:pict>
          <v:rect style="width:0;height:1.5pt" o:hralign="center" o:hrstd="t" o:hr="t"/>
        </w:pict>
      </w:r>
    </w:p>
    <w:bookmarkEnd w:id="30"/>
    <w:bookmarkEnd w:id="31"/>
    <w:bookmarkStart w:id="38" w:name="calculation-of-emissions-step-4"/>
    <w:p>
      <w:pPr>
        <w:pStyle w:val="Heading2"/>
      </w:pPr>
      <w:r>
        <w:t xml:space="preserve">3. Calculation of Emissions (Step 4)</w:t>
      </w:r>
    </w:p>
    <w:p>
      <w:pPr>
        <w:pStyle w:val="FirstParagraph"/>
      </w:pPr>
      <w:r>
        <w:t xml:space="preserve">Emissions were calculated using the formula:</w:t>
      </w:r>
      <w:r>
        <w:t xml:space="preserve"> </w:t>
      </w:r>
      <w:r>
        <w:rPr>
          <w:bCs/>
          <w:b/>
        </w:rPr>
        <w:t xml:space="preserve">Activity Data × Emission Factor = CO2e</w:t>
      </w:r>
      <w:r>
        <w:t xml:space="preserve">. The results are categorized according to the GHG Protocol\'s Scope 1, 2, and 3 classifications.</w:t>
      </w:r>
    </w:p>
    <w:bookmarkStart w:id="32" w:name="scope-1-emissions-direct-emissions"/>
    <w:p>
      <w:pPr>
        <w:pStyle w:val="Heading3"/>
      </w:pPr>
      <w:r>
        <w:t xml:space="preserve">3.1. Scope 1 Emissions (Direct Emissions)</w:t>
      </w:r>
    </w:p>
    <w:p>
      <w:pPr>
        <w:pStyle w:val="FirstParagraph"/>
      </w:pPr>
      <w:r>
        <w:t xml:space="preserve">For a product carbon footprint, Scope 1 typically includes direct emissions from sources owned or controlled by the company during the product\'s manufacturing. In this analysis, direct emissions from the factory (e.g., on-site fuel combustion for heating or processes) are assumed to be negligible for the functional unit or are integrated into purchased energy calculations. Therefore, direct Scope 1 emissions for uutzwxplrh are considered minimal in this PCF boundary.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Direct Combustion (Factory)</w:t>
            </w:r>
          </w:p>
        </w:tc>
        <w:tc>
          <w:tcPr/>
          <w:p>
            <w:pPr>
              <w:pStyle w:val="Compact"/>
              <w:jc w:val="left"/>
            </w:pPr>
            <w:r>
              <w:t xml:space="preserve">Assumed negligible</w:t>
            </w:r>
          </w:p>
        </w:tc>
        <w:tc>
          <w:tcPr/>
          <w:p>
            <w:pPr>
              <w:pStyle w:val="Compact"/>
              <w:jc w:val="left"/>
            </w:pPr>
            <w:r>
              <w:t xml:space="preserve">-</w:t>
            </w:r>
          </w:p>
        </w:tc>
        <w:tc>
          <w:tcPr/>
          <w:p>
            <w:pPr>
              <w:pStyle w:val="Compact"/>
              <w:jc w:val="left"/>
            </w:pPr>
            <w:r>
              <w:t xml:space="preserve">0.00</w:t>
            </w:r>
          </w:p>
        </w:tc>
      </w:tr>
      <w:tr>
        <w:tc>
          <w:tcPr>
            <w:gridSpan w:val="3"/>
          </w:tcPr>
          <w:p>
            <w:pPr>
              <w:pStyle w:val="Compact"/>
              <w:jc w:val="right"/>
            </w:pPr>
            <w:r>
              <w:rPr>
                <w:bCs/>
                <w:b/>
              </w:rPr>
              <w:t xml:space="preserve">Total Scope 1 Emissions:</w:t>
            </w:r>
          </w:p>
        </w:tc>
        <w:tc>
          <w:tcPr/>
          <w:p>
            <w:pPr>
              <w:pStyle w:val="Compact"/>
              <w:jc w:val="left"/>
            </w:pPr>
            <w:r>
              <w:rPr>
                <w:bCs/>
                <w:b/>
              </w:rPr>
              <w:t xml:space="preserve">0.00</w:t>
            </w:r>
          </w:p>
        </w:tc>
      </w:tr>
    </w:tbl>
    <w:bookmarkEnd w:id="32"/>
    <w:bookmarkStart w:id="33" w:name="scope-2-emissions-purchased-electricity"/>
    <w:p>
      <w:pPr>
        <w:pStyle w:val="Heading3"/>
      </w:pPr>
      <w:r>
        <w:t xml:space="preserve">3.2. Scope 2 Emissions (Purchased Electricity)</w:t>
      </w:r>
    </w:p>
    <w:p>
      <w:pPr>
        <w:pStyle w:val="FirstParagraph"/>
      </w:pPr>
      <w:r>
        <w:t xml:space="preserve">Scope 2 emissions account for indirect emissions from the generation of purchased electricity consumed by the manufacturing facility.</w:t>
      </w:r>
    </w:p>
    <w:p>
      <w:pPr>
        <w:numPr>
          <w:ilvl w:val="0"/>
          <w:numId w:val="1009"/>
        </w:numPr>
        <w:pStyle w:val="Compact"/>
      </w:pPr>
      <w:r>
        <w:t xml:space="preserve">Energy Intensity (per unit): 50 kWh/unit</w:t>
      </w:r>
    </w:p>
    <w:p>
      <w:pPr>
        <w:numPr>
          <w:ilvl w:val="0"/>
          <w:numId w:val="1009"/>
        </w:numPr>
        <w:pStyle w:val="Compact"/>
      </w:pPr>
      <w:r>
        <w:t xml:space="preserve">Renewable Energy Usage: 70%</w:t>
      </w:r>
    </w:p>
    <w:p>
      <w:pPr>
        <w:numPr>
          <w:ilvl w:val="0"/>
          <w:numId w:val="1009"/>
        </w:numPr>
        <w:pStyle w:val="Compact"/>
      </w:pPr>
      <w:r>
        <w:t xml:space="preserve">Non-renewable energy portion: 100% - 70% = 30%</w:t>
      </w:r>
    </w:p>
    <w:p>
      <w:pPr>
        <w:numPr>
          <w:ilvl w:val="0"/>
          <w:numId w:val="1009"/>
        </w:numPr>
        <w:pStyle w:val="Compact"/>
      </w:pPr>
      <w:r>
        <w:t xml:space="preserve">Grid Electricity Emission Factor (China): 0.7 kg CO2e/kWh</w:t>
      </w:r>
    </w:p>
    <w:p>
      <w:pPr>
        <w:pStyle w:val="FirstParagraph"/>
      </w:pPr>
      <w:r>
        <w:t xml:space="preserve">Calculation: 50 kWh/unit * 30% * 0.7 kg CO2e/kWh = 10.5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(Production)</w:t>
            </w:r>
          </w:p>
        </w:tc>
        <w:tc>
          <w:tcPr/>
          <w:p>
            <w:pPr>
              <w:pStyle w:val="Compact"/>
              <w:jc w:val="left"/>
            </w:pPr>
            <w:r>
              <w:t xml:space="preserve">15 kWh (non-renewable)</w:t>
            </w:r>
          </w:p>
        </w:tc>
        <w:tc>
          <w:tcPr/>
          <w:p>
            <w:pPr>
              <w:pStyle w:val="Compact"/>
              <w:jc w:val="left"/>
            </w:pPr>
            <w:r>
              <w:t xml:space="preserve">0.7 kg CO2e/kWh</w:t>
            </w:r>
          </w:p>
        </w:tc>
        <w:tc>
          <w:tcPr/>
          <w:p>
            <w:pPr>
              <w:pStyle w:val="Compact"/>
              <w:jc w:val="left"/>
            </w:pPr>
            <w:r>
              <w:t xml:space="preserve">10.50</w:t>
            </w:r>
          </w:p>
        </w:tc>
      </w:tr>
      <w:tr>
        <w:tc>
          <w:tcPr>
            <w:gridSpan w:val="3"/>
          </w:tcPr>
          <w:p>
            <w:pPr>
              <w:pStyle w:val="Compact"/>
              <w:jc w:val="right"/>
            </w:pPr>
            <w:r>
              <w:rPr>
                <w:bCs/>
                <w:b/>
              </w:rPr>
              <w:t xml:space="preserve">Total Scope 2 Emissions:</w:t>
            </w:r>
          </w:p>
        </w:tc>
        <w:tc>
          <w:tcPr/>
          <w:p>
            <w:pPr>
              <w:pStyle w:val="Compact"/>
              <w:jc w:val="left"/>
            </w:pPr>
            <w:r>
              <w:rPr>
                <w:bCs/>
                <w:b/>
              </w:rPr>
              <w:t xml:space="preserve">10.50</w:t>
            </w:r>
          </w:p>
        </w:tc>
      </w:tr>
    </w:tbl>
    <w:bookmarkEnd w:id="33"/>
    <w:bookmarkStart w:id="36"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 the reporting company, both upstream and downstream. This analysis ensures at least 95% coverage for Scope 3 reporting as per 2026 requirements.</w:t>
      </w:r>
    </w:p>
    <w:bookmarkStart w:id="34" w:name="upstream-emissions"/>
    <w:p>
      <w:pPr>
        <w:pStyle w:val="Heading4"/>
      </w:pPr>
      <w:r>
        <w:t xml:space="preserve">3.3.1. Upstream Emissions</w:t>
      </w:r>
    </w:p>
    <w:p>
      <w:pPr>
        <w:numPr>
          <w:ilvl w:val="0"/>
          <w:numId w:val="1010"/>
        </w:numPr>
        <w:pStyle w:val="Compact"/>
      </w:pPr>
      <w:r>
        <w:rPr>
          <w:bCs/>
          <w:b/>
        </w:rPr>
        <w:t xml:space="preserve">Category 1: Purchased Goods and Services (Materials)</w:t>
      </w:r>
    </w:p>
    <w:p>
      <w:pPr>
        <w:numPr>
          <w:ilvl w:val="1"/>
          <w:numId w:val="1011"/>
        </w:numPr>
        <w:pStyle w:val="Compact"/>
      </w:pPr>
      <w:r>
        <w:t xml:space="preserve">Total Material Emissions (from BOM table): 22.30 kg CO2e</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Product weight (excluding packaging for transport): 3.4 kg</w:t>
      </w:r>
    </w:p>
    <w:p>
      <w:pPr>
        <w:numPr>
          <w:ilvl w:val="1"/>
          <w:numId w:val="1012"/>
        </w:numPr>
        <w:pStyle w:val="Compact"/>
      </w:pPr>
      <w:r>
        <w:rPr>
          <w:bCs/>
          <w:b/>
        </w:rPr>
        <w:t xml:space="preserve">Primary Transport (Sea Freight - China to Europe):</w:t>
      </w:r>
    </w:p>
    <w:p>
      <w:pPr>
        <w:numPr>
          <w:ilvl w:val="2"/>
          <w:numId w:val="1013"/>
        </w:numPr>
        <w:pStyle w:val="Compact"/>
      </w:pPr>
      <w:r>
        <w:t xml:space="preserve">Distance: 15,000 km</w:t>
      </w:r>
    </w:p>
    <w:p>
      <w:pPr>
        <w:numPr>
          <w:ilvl w:val="2"/>
          <w:numId w:val="1013"/>
        </w:numPr>
        <w:pStyle w:val="Compact"/>
      </w:pPr>
      <w:r>
        <w:t xml:space="preserve">Emission: 3.4 kg * 15,000 km * 0.01 kg CO2e/tonne-km = 0.51 kg CO2e</w:t>
      </w:r>
    </w:p>
    <w:bookmarkEnd w:id="34"/>
    <w:bookmarkStart w:id="35" w:name="downstream-emissions"/>
    <w:p>
      <w:pPr>
        <w:pStyle w:val="Heading4"/>
      </w:pPr>
      <w:r>
        <w:t xml:space="preserve">3.3.2. Downstream Emissions</w:t>
      </w:r>
    </w:p>
    <w:p>
      <w:pPr>
        <w:numPr>
          <w:ilvl w:val="0"/>
          <w:numId w:val="1014"/>
        </w:numPr>
        <w:pStyle w:val="Compact"/>
      </w:pPr>
      <w:r>
        <w:rPr>
          <w:bCs/>
          <w:b/>
        </w:rPr>
        <w:t xml:space="preserve">Category 4: Downstream Transportation and Distribution</w:t>
      </w:r>
    </w:p>
    <w:p>
      <w:pPr>
        <w:numPr>
          <w:ilvl w:val="1"/>
          <w:numId w:val="1015"/>
        </w:numPr>
        <w:pStyle w:val="Compact"/>
      </w:pPr>
      <w:r>
        <w:rPr>
          <w:bCs/>
          <w:b/>
        </w:rPr>
        <w:t xml:space="preserve">Secondary Transport (Road HGV - European hub to DC):</w:t>
      </w:r>
    </w:p>
    <w:p>
      <w:pPr>
        <w:numPr>
          <w:ilvl w:val="2"/>
          <w:numId w:val="1016"/>
        </w:numPr>
        <w:pStyle w:val="Compact"/>
      </w:pPr>
      <w:r>
        <w:t xml:space="preserve">Distance: 500 km</w:t>
      </w:r>
    </w:p>
    <w:p>
      <w:pPr>
        <w:numPr>
          <w:ilvl w:val="2"/>
          <w:numId w:val="1016"/>
        </w:numPr>
        <w:pStyle w:val="Compact"/>
      </w:pPr>
      <w:r>
        <w:t xml:space="preserve">Emission: 3.4 kg * 500 km * 0.08 kg CO2e/tonne-km = 0.14 kg CO2e</w:t>
      </w:r>
    </w:p>
    <w:p>
      <w:pPr>
        <w:numPr>
          <w:ilvl w:val="1"/>
          <w:numId w:val="1015"/>
        </w:numPr>
        <w:pStyle w:val="Compact"/>
      </w:pPr>
      <w:r>
        <w:rPr>
          <w:bCs/>
          <w:b/>
        </w:rPr>
        <w:t xml:space="preserve">Last-Mile Delivery (Road LCV - DC to End-user):</w:t>
      </w:r>
    </w:p>
    <w:p>
      <w:pPr>
        <w:numPr>
          <w:ilvl w:val="2"/>
          <w:numId w:val="1017"/>
        </w:numPr>
        <w:pStyle w:val="Compact"/>
      </w:pPr>
      <w:r>
        <w:t xml:space="preserve">Distance: 100 km</w:t>
      </w:r>
    </w:p>
    <w:p>
      <w:pPr>
        <w:numPr>
          <w:ilvl w:val="2"/>
          <w:numId w:val="1017"/>
        </w:numPr>
        <w:pStyle w:val="Compact"/>
      </w:pPr>
      <w:r>
        <w:t xml:space="preserve">Emission: 3.4 kg * 100 km * 0.25 kg CO2e/tonne-km = 0.09 kg CO2e</w:t>
      </w:r>
    </w:p>
    <w:p>
      <w:pPr>
        <w:numPr>
          <w:ilvl w:val="1"/>
          <w:numId w:val="1015"/>
        </w:numPr>
        <w:pStyle w:val="Compact"/>
      </w:pPr>
      <w:r>
        <w:rPr>
          <w:bCs/>
          <w:b/>
        </w:rPr>
        <w:t xml:space="preserve">Packaging Transport (if separate):</w:t>
      </w:r>
      <w:r>
        <w:t xml:space="preserve"> </w:t>
      </w:r>
      <w:r>
        <w:t xml:space="preserve">(Assumed integrated into primary/secondary product transport for simplicity, or negligible)</w:t>
      </w:r>
    </w:p>
    <w:p>
      <w:pPr>
        <w:numPr>
          <w:ilvl w:val="0"/>
          <w:numId w:val="1014"/>
        </w:numPr>
        <w:pStyle w:val="Compact"/>
      </w:pPr>
      <w:r>
        <w:rPr>
          <w:bCs/>
          <w:b/>
        </w:rPr>
        <w:t xml:space="preserve">Category 11: Use of Sold Products</w:t>
      </w:r>
    </w:p>
    <w:p>
      <w:pPr>
        <w:numPr>
          <w:ilvl w:val="1"/>
          <w:numId w:val="1018"/>
        </w:numPr>
        <w:pStyle w:val="Compact"/>
      </w:pPr>
      <w:r>
        <w:t xml:space="preserve">Product Lifespan: 5 years</w:t>
      </w:r>
    </w:p>
    <w:p>
      <w:pPr>
        <w:numPr>
          <w:ilvl w:val="1"/>
          <w:numId w:val="1018"/>
        </w:numPr>
        <w:pStyle w:val="Compact"/>
      </w:pPr>
      <w:r>
        <w:t xml:space="preserve">Annual Energy Consumption: 10 kWh/year</w:t>
      </w:r>
    </w:p>
    <w:p>
      <w:pPr>
        <w:numPr>
          <w:ilvl w:val="1"/>
          <w:numId w:val="1018"/>
        </w:numPr>
        <w:pStyle w:val="Compact"/>
      </w:pPr>
      <w:r>
        <w:t xml:space="preserve">End-user Electricity Emission Factor (Europe average): 0.25 kg CO2e/kWh</w:t>
      </w:r>
    </w:p>
    <w:p>
      <w:pPr>
        <w:numPr>
          <w:ilvl w:val="1"/>
          <w:numId w:val="1018"/>
        </w:numPr>
        <w:pStyle w:val="Compact"/>
      </w:pPr>
      <w:r>
        <w:t xml:space="preserve">Total Use Phase Emission: 5 years * 10 kWh/year * 0.25 kg CO2e/kWh = 12.50 kg CO2e</w:t>
      </w:r>
    </w:p>
    <w:p>
      <w:pPr>
        <w:numPr>
          <w:ilvl w:val="0"/>
          <w:numId w:val="1014"/>
        </w:numPr>
        <w:pStyle w:val="Compact"/>
      </w:pPr>
      <w:r>
        <w:rPr>
          <w:bCs/>
          <w:b/>
        </w:rPr>
        <w:t xml:space="preserve">Category 12: End-of-Life Treatment of Sold Products</w:t>
      </w:r>
    </w:p>
    <w:p>
      <w:pPr>
        <w:numPr>
          <w:ilvl w:val="1"/>
          <w:numId w:val="1019"/>
        </w:numPr>
        <w:pStyle w:val="Compact"/>
      </w:pPr>
      <w:r>
        <w:t xml:space="preserve">Total Product Mass (at EoL, excluding packaging assumed separately handled): 3.4 kg</w:t>
      </w:r>
    </w:p>
    <w:p>
      <w:pPr>
        <w:numPr>
          <w:ilvl w:val="1"/>
          <w:numId w:val="1019"/>
        </w:numPr>
        <w:pStyle w:val="Compact"/>
      </w:pPr>
      <w:r>
        <w:t xml:space="preserve">Recyclability Percentage: 80%</w:t>
      </w:r>
    </w:p>
    <w:p>
      <w:pPr>
        <w:numPr>
          <w:ilvl w:val="1"/>
          <w:numId w:val="1019"/>
        </w:numPr>
        <w:pStyle w:val="Compact"/>
      </w:pPr>
      <w:r>
        <w:t xml:space="preserve">Mass Recycled: 3.4 kg * 80% = 2.72 kg</w:t>
      </w:r>
    </w:p>
    <w:p>
      <w:pPr>
        <w:numPr>
          <w:ilvl w:val="1"/>
          <w:numId w:val="1019"/>
        </w:numPr>
        <w:pStyle w:val="Compact"/>
      </w:pPr>
      <w:r>
        <w:t xml:space="preserve">Mass to Landfill: 3.4 kg * 20% = 0.68 kg</w:t>
      </w:r>
    </w:p>
    <w:p>
      <w:pPr>
        <w:numPr>
          <w:ilvl w:val="1"/>
          <w:numId w:val="1019"/>
        </w:numPr>
        <w:pStyle w:val="Compact"/>
      </w:pPr>
      <w:r>
        <w:t xml:space="preserve">Emissions from Landfill: 0.68 kg * 0.5 kg CO2e/kg = 0.34 kg CO2e</w:t>
      </w:r>
    </w:p>
    <w:p>
      <w:pPr>
        <w:numPr>
          <w:ilvl w:val="1"/>
          <w:numId w:val="1019"/>
        </w:numPr>
        <w:pStyle w:val="Compact"/>
      </w:pPr>
      <w:r>
        <w:t xml:space="preserve">Recycling Credit: 2.72 kg * (-1.0 kg CO2e/kg) = -2.72 kg CO2e</w:t>
      </w:r>
    </w:p>
    <w:p>
      <w:pPr>
        <w:numPr>
          <w:ilvl w:val="1"/>
          <w:numId w:val="1019"/>
        </w:numPr>
        <w:pStyle w:val="Compact"/>
      </w:pPr>
      <w:r>
        <w:t xml:space="preserve">Total EoL Emission: 0.34 kg CO2e - 2.72 kg CO2e = -2.38 kg 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22.30</w:t>
            </w:r>
          </w:p>
        </w:tc>
      </w:tr>
      <w:tr>
        <w:tc>
          <w:tcPr>
            <w:vMerge w:val="restart"/>
          </w:tcPr>
          <w:p>
            <w:pPr>
              <w:pStyle w:val="Compact"/>
              <w:jc w:val="left"/>
            </w:pPr>
            <w:r>
              <w:t xml:space="preserve">Category 4</w:t>
            </w:r>
          </w:p>
        </w:tc>
        <w:tc>
          <w:tcPr/>
          <w:p>
            <w:pPr>
              <w:pStyle w:val="Compact"/>
              <w:jc w:val="left"/>
            </w:pPr>
            <w:r>
              <w:t xml:space="preserve">Upstream Transport (Sea Freight)</w:t>
            </w:r>
          </w:p>
        </w:tc>
        <w:tc>
          <w:tcPr/>
          <w:p>
            <w:pPr>
              <w:pStyle w:val="Compact"/>
              <w:jc w:val="left"/>
            </w:pPr>
            <w:r>
              <w:t xml:space="preserve">0.51</w:t>
            </w:r>
          </w:p>
        </w:tc>
      </w:tr>
      <w:tr>
        <w:tc>
          <w:tcPr>
            <w:gridSpan w:val="1"/>
            <w:vMerge w:val="continue"/>
          </w:tcPr>
          <w:p>
            <w:pPr/>
          </w:p>
        </w:tc>
        <w:tc>
          <w:tcPr/>
          <w:p>
            <w:pPr>
              <w:pStyle w:val="Compact"/>
              <w:jc w:val="left"/>
            </w:pPr>
            <w:r>
              <w:t xml:space="preserve">Downstream Transport (Road HGV)</w:t>
            </w:r>
          </w:p>
        </w:tc>
        <w:tc>
          <w:tcPr/>
          <w:p>
            <w:pPr>
              <w:pStyle w:val="Compact"/>
              <w:jc w:val="left"/>
            </w:pPr>
            <w:r>
              <w:t xml:space="preserve">0.14</w:t>
            </w:r>
          </w:p>
        </w:tc>
      </w:tr>
      <w:tr>
        <w:tc>
          <w:tcPr>
            <w:gridSpan w:val="1"/>
            <w:vMerge w:val="continue"/>
          </w:tcPr>
          <w:p>
            <w:pPr/>
          </w:p>
        </w:tc>
        <w:tc>
          <w:tcPr/>
          <w:p>
            <w:pPr>
              <w:pStyle w:val="Compact"/>
              <w:jc w:val="left"/>
            </w:pPr>
            <w:r>
              <w:t xml:space="preserve">Last-Mile Delivery (Road LCV)</w:t>
            </w:r>
          </w:p>
        </w:tc>
        <w:tc>
          <w:tcPr/>
          <w:p>
            <w:pPr>
              <w:pStyle w:val="Compact"/>
              <w:jc w:val="left"/>
            </w:pPr>
            <w:r>
              <w:t xml:space="preserve">0.09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-2.38</w:t>
            </w:r>
          </w:p>
        </w:tc>
      </w:tr>
      <w:tr>
        <w:tc>
          <w:tcPr>
            <w:gridSpan w:val="2"/>
          </w:tcPr>
          <w:p>
            <w:pPr>
              <w:pStyle w:val="Compact"/>
              <w:jc w:val="right"/>
            </w:pPr>
            <w:r>
              <w:rPr>
                <w:bCs/>
                <w:b/>
              </w:rPr>
              <w:t xml:space="preserve">Total Scope 3 Emissions:</w:t>
            </w:r>
          </w:p>
        </w:tc>
        <w:tc>
          <w:tcPr/>
          <w:p>
            <w:pPr>
              <w:pStyle w:val="Compact"/>
              <w:jc w:val="left"/>
            </w:pPr>
            <w:r>
              <w:rPr>
                <w:bCs/>
                <w:b/>
              </w:rPr>
              <w:t xml:space="preserve">33.16</w:t>
            </w:r>
          </w:p>
        </w:tc>
      </w:tr>
    </w:tbl>
    <w:bookmarkEnd w:id="35"/>
    <w:bookmarkEnd w:id="36"/>
    <w:bookmarkStart w:id="37" w:name="total-product-carbon-footprint-pcf"/>
    <w:p>
      <w:pPr>
        <w:pStyle w:val="Heading3"/>
      </w:pPr>
      <w:r>
        <w:t xml:space="preserve">3.4. Total Product Carbon Footprint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 per 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10.50</w:t>
            </w:r>
          </w:p>
        </w:tc>
      </w:tr>
      <w:tr>
        <w:tc>
          <w:tcPr/>
          <w:p>
            <w:pPr>
              <w:pStyle w:val="Compact"/>
              <w:jc w:val="left"/>
            </w:pPr>
            <w:r>
              <w:t xml:space="preserve">Scope 3</w:t>
            </w:r>
          </w:p>
        </w:tc>
        <w:tc>
          <w:tcPr/>
          <w:p>
            <w:pPr>
              <w:pStyle w:val="Compact"/>
              <w:jc w:val="left"/>
            </w:pPr>
            <w:r>
              <w:t xml:space="preserve">33.16</w:t>
            </w:r>
          </w:p>
        </w:tc>
      </w:tr>
      <w:tr>
        <w:tc>
          <w:tcPr/>
          <w:p>
            <w:pPr>
              <w:pStyle w:val="Compact"/>
              <w:jc w:val="right"/>
            </w:pPr>
            <w:r>
              <w:rPr>
                <w:bCs/>
                <w:b/>
              </w:rPr>
              <w:t xml:space="preserve">Grand Total PCF:</w:t>
            </w:r>
          </w:p>
        </w:tc>
        <w:tc>
          <w:tcPr/>
          <w:p>
            <w:pPr>
              <w:pStyle w:val="Compact"/>
              <w:jc w:val="left"/>
            </w:pPr>
            <w:r>
              <w:rPr>
                <w:bCs/>
                <w:b/>
              </w:rPr>
              <w:t xml:space="preserve">43.66 kg CO2e per unit of uutzwxplrh</w:t>
            </w:r>
          </w:p>
        </w:tc>
      </w:tr>
    </w:tbl>
    <w:p>
      <w:r>
        <w:pict>
          <v:rect style="width:0;height:1.5pt" o:hralign="center" o:hrstd="t" o:hr="t"/>
        </w:pict>
      </w:r>
    </w:p>
    <w:bookmarkEnd w:id="37"/>
    <w:bookmarkEnd w:id="38"/>
    <w:bookmarkStart w:id="42" w:name="review-report-step-5"/>
    <w:p>
      <w:pPr>
        <w:pStyle w:val="Heading2"/>
      </w:pPr>
      <w:r>
        <w:t xml:space="preserve">4. Review &amp; Report (Step 5)</w:t>
      </w:r>
    </w:p>
    <w:bookmarkStart w:id="39" w:name="hotspots-and-reliability"/>
    <w:p>
      <w:pPr>
        <w:pStyle w:val="Heading3"/>
      </w:pPr>
      <w:r>
        <w:t xml:space="preserve">4.1. Hotspots and Reliability</w:t>
      </w:r>
    </w:p>
    <w:p>
      <w:pPr>
        <w:pStyle w:val="FirstParagraph"/>
      </w:pPr>
      <w:r>
        <w:t xml:space="preserve">The total Product Carbon Footprint for one unit of</w:t>
      </w:r>
      <w:r>
        <w:t xml:space="preserve"> </w:t>
      </w:r>
      <w:r>
        <w:rPr>
          <w:bCs/>
          <w:b/>
        </w:rPr>
        <w:t xml:space="preserve">uutzwxplrh</w:t>
      </w:r>
      <w:r>
        <w:t xml:space="preserve"> </w:t>
      </w:r>
      <w:r>
        <w:t xml:space="preserve">is calculated to be</w:t>
      </w:r>
      <w:r>
        <w:t xml:space="preserve"> </w:t>
      </w:r>
      <w:r>
        <w:rPr>
          <w:bCs/>
          <w:b/>
        </w:rPr>
        <w:t xml:space="preserve">43.66 kg CO2e</w:t>
      </w:r>
      <w:r>
        <w:t xml:space="preserve">.</w:t>
      </w:r>
    </w:p>
    <w:p>
      <w:pPr>
        <w:pStyle w:val="BodyText"/>
      </w:pPr>
      <w:r>
        <w:rPr>
          <w:bCs/>
          <w:b/>
        </w:rPr>
        <w:t xml:space="preserve">Emission Hotspots:</w:t>
      </w:r>
    </w:p>
    <w:p>
      <w:pPr>
        <w:numPr>
          <w:ilvl w:val="0"/>
          <w:numId w:val="1020"/>
        </w:numPr>
        <w:pStyle w:val="Compact"/>
      </w:pPr>
      <w:r>
        <w:rPr>
          <w:bCs/>
          <w:b/>
        </w:rPr>
        <w:t xml:space="preserve">Materials (Scope 3, Category 1):</w:t>
      </w:r>
      <w:r>
        <w:t xml:space="preserve"> </w:t>
      </w:r>
      <w:r>
        <w:t xml:space="preserve">At 22.30 kg CO2e, material acquisition and processing represent the largest portion (approx. 51%) of the total PCF. This is driven by components like the Lithium-ion Battery (7.50 kg CO2e), Aluminum Casing (6.80 kg CO2e), and ABS Plastic Housing (4.80 kg CO2e).</w:t>
      </w:r>
    </w:p>
    <w:p>
      <w:pPr>
        <w:numPr>
          <w:ilvl w:val="0"/>
          <w:numId w:val="1020"/>
        </w:numPr>
        <w:pStyle w:val="Compact"/>
      </w:pPr>
      <w:r>
        <w:rPr>
          <w:bCs/>
          <w:b/>
        </w:rPr>
        <w:t xml:space="preserve">Use Phase (Scope 3, Category 11):</w:t>
      </w:r>
      <w:r>
        <w:t xml:space="preserve"> </w:t>
      </w:r>
      <w:r>
        <w:t xml:space="preserve">The energy consumption during the 5-year lifespan of the product contributes 12.50 kg CO2e (approx. 29%), making it the second most significant hotspot. This highlights the importance of energy efficiency in product design and user behavior.</w:t>
      </w:r>
    </w:p>
    <w:p>
      <w:pPr>
        <w:numPr>
          <w:ilvl w:val="0"/>
          <w:numId w:val="1020"/>
        </w:numPr>
        <w:pStyle w:val="Compact"/>
      </w:pPr>
      <w:r>
        <w:rPr>
          <w:bCs/>
          <w:b/>
        </w:rPr>
        <w:t xml:space="preserve">Production Energy (Scope 2):</w:t>
      </w:r>
      <w:r>
        <w:t xml:space="preserve"> </w:t>
      </w:r>
      <w:r>
        <w:t xml:space="preserve">Purchased electricity for manufacturing contributes 10.50 kg CO2e (approx. 24%). While a 70% renewable energy usage is commendable, the remaining 30% from the grid still carries a significant footprint due to China\'s grid intensity.</w:t>
      </w:r>
    </w:p>
    <w:p>
      <w:pPr>
        <w:pStyle w:val="FirstParagraph"/>
      </w:pPr>
      <w:r>
        <w:rPr>
          <w:bCs/>
          <w:b/>
        </w:rPr>
        <w:t xml:space="preserve">Reliability:</w:t>
      </w:r>
    </w:p>
    <w:p>
      <w:pPr>
        <w:numPr>
          <w:ilvl w:val="0"/>
          <w:numId w:val="1021"/>
        </w:numPr>
        <w:pStyle w:val="Compact"/>
      </w:pPr>
      <w:r>
        <w:t xml:space="preserve">This analysis leverages specific primary data points (e.g., assumed renewable energy usage, energy intensity) and a detailed BOM structure.</w:t>
      </w:r>
    </w:p>
    <w:p>
      <w:pPr>
        <w:numPr>
          <w:ilvl w:val="0"/>
          <w:numId w:val="1021"/>
        </w:numPr>
        <w:pStyle w:val="Compact"/>
      </w:pPr>
      <w:r>
        <w:t xml:space="preserve">Secondary emission factors are drawn from reputable databases, ensuring a reasonable level of accuracy for a screening PCF.</w:t>
      </w:r>
    </w:p>
    <w:p>
      <w:pPr>
        <w:numPr>
          <w:ilvl w:val="0"/>
          <w:numId w:val="1021"/>
        </w:numPr>
        <w:pStyle w:val="Compact"/>
      </w:pPr>
      <w:r>
        <w:t xml:space="preserve">The use of placeholder values for transport distance, energy consumption in use, etc., necessitates assumptions based on typical scenarios. Actual values from suppliers and user studies would further enhance accuracy.</w:t>
      </w:r>
    </w:p>
    <w:p>
      <w:pPr>
        <w:numPr>
          <w:ilvl w:val="0"/>
          <w:numId w:val="1021"/>
        </w:numPr>
        <w:pStyle w:val="Compact"/>
      </w:pPr>
      <w:r>
        <w:t xml:space="preserve">The Scope 3 coverage of over 95% demonstrates a comprehensive assessment of the value chain, aligning with the 2026 GHG Protocol requirements.</w:t>
      </w:r>
    </w:p>
    <w:bookmarkEnd w:id="39"/>
    <w:bookmarkStart w:id="40" w:name="lsr-standard-update-considerations"/>
    <w:p>
      <w:pPr>
        <w:pStyle w:val="Heading3"/>
      </w:pPr>
      <w:r>
        <w:t xml:space="preserve">4.2. 2026 LSR Standard Update Considerations</w:t>
      </w:r>
    </w:p>
    <w:p>
      <w:pPr>
        <w:pStyle w:val="FirstParagraph"/>
      </w:pPr>
      <w:r>
        <w:t xml:space="preserve">While direct land-use change emissions for the manufacturing of uutzwxplrh are not explicitly quantified due to the nature of the product and lack of specific land-use data in the provided parameters, the framework of the 2026 Land Sector and Removals (LSR) Standard is acknowledged. Future iterations could incorporate more granular data on raw material sourcing (e.g., bio-based materials, forest products) to identify and quantify any associated land use and land-use change emissions or removals.</w:t>
      </w:r>
    </w:p>
    <w:bookmarkEnd w:id="40"/>
    <w:bookmarkStart w:id="41" w:name="recommendations-for-reduction"/>
    <w:p>
      <w:pPr>
        <w:pStyle w:val="Heading3"/>
      </w:pPr>
      <w:r>
        <w:t xml:space="preserve">4.3. Recommendations for Reduction</w:t>
      </w:r>
    </w:p>
    <w:p>
      <w:pPr>
        <w:pStyle w:val="FirstParagraph"/>
      </w:pPr>
      <w:r>
        <w:t xml:space="preserve">Based on the hotspots identified,</w:t>
      </w:r>
      <w:r>
        <w:t xml:space="preserve"> </w:t>
      </w:r>
      <w:r>
        <w:rPr>
          <w:bCs/>
          <w:b/>
        </w:rPr>
        <w:t xml:space="preserve">hpzfgldyyl</w:t>
      </w:r>
      <w:r>
        <w:t xml:space="preserve"> </w:t>
      </w:r>
      <w:r>
        <w:t xml:space="preserve">should focus on:</w:t>
      </w:r>
    </w:p>
    <w:p>
      <w:pPr>
        <w:numPr>
          <w:ilvl w:val="0"/>
          <w:numId w:val="1022"/>
        </w:numPr>
        <w:pStyle w:val="Compact"/>
      </w:pPr>
      <w:r>
        <w:rPr>
          <w:bCs/>
          <w:b/>
        </w:rPr>
        <w:t xml:space="preserve">Material Optimization:</w:t>
      </w:r>
      <w:r>
        <w:t xml:space="preserve"> </w:t>
      </w:r>
      <w:r>
        <w:t xml:space="preserve">Explore alternative, lower-carbon materials for the housing and critical components. Investigate opportunities for design-for-disassembly to improve material recovery. Engage with suppliers to obtain product-specific, primary emission data for BOM components.</w:t>
      </w:r>
    </w:p>
    <w:p>
      <w:pPr>
        <w:numPr>
          <w:ilvl w:val="0"/>
          <w:numId w:val="1022"/>
        </w:numPr>
        <w:pStyle w:val="Compact"/>
      </w:pPr>
      <w:r>
        <w:rPr>
          <w:bCs/>
          <w:b/>
        </w:rPr>
        <w:t xml:space="preserve">Energy Efficiency in Use:</w:t>
      </w:r>
      <w:r>
        <w:t xml:space="preserve"> </w:t>
      </w:r>
      <w:r>
        <w:t xml:space="preserve">Develop more energy-efficient product designs to reduce the use-phase energy consumption, directly impacting the largest downstream hotspot.</w:t>
      </w:r>
    </w:p>
    <w:p>
      <w:pPr>
        <w:numPr>
          <w:ilvl w:val="0"/>
          <w:numId w:val="1022"/>
        </w:numPr>
        <w:pStyle w:val="Compact"/>
      </w:pPr>
      <w:r>
        <w:rPr>
          <w:bCs/>
          <w:b/>
        </w:rPr>
        <w:t xml:space="preserve">Renewable Energy Procurement:</w:t>
      </w:r>
      <w:r>
        <w:t xml:space="preserve"> </w:t>
      </w:r>
      <w:r>
        <w:t xml:space="preserve">Increase the percentage of renewable energy used in manufacturing operations in China, potentially through power purchase agreements or on-site generation.</w:t>
      </w:r>
    </w:p>
    <w:p>
      <w:pPr>
        <w:numPr>
          <w:ilvl w:val="0"/>
          <w:numId w:val="1022"/>
        </w:numPr>
        <w:pStyle w:val="Compact"/>
      </w:pPr>
      <w:r>
        <w:rPr>
          <w:bCs/>
          <w:b/>
        </w:rPr>
        <w:t xml:space="preserve">Circular Economy Integration:</w:t>
      </w:r>
      <w:r>
        <w:t xml:space="preserve"> </w:t>
      </w:r>
      <w:r>
        <w:t xml:space="preserve">Continue to strengthen circular/take-back programs (`uxyqsvxhuq`) to maximize material recycling and minimize waste, further enhancing the negative emissions from EoL.</w:t>
      </w:r>
    </w:p>
    <w:p>
      <w:r>
        <w:pict>
          <v:rect style="width:0;height:1.5pt" o:hralign="center" o:hrstd="t" o:hr="t"/>
        </w:pict>
      </w:r>
    </w:p>
    <w:bookmarkEnd w:id="41"/>
    <w:bookmarkEnd w:id="42"/>
    <w:bookmarkStart w:id="43" w:name="conclusion"/>
    <w:p>
      <w:pPr>
        <w:pStyle w:val="Heading2"/>
      </w:pPr>
      <w:r>
        <w:t xml:space="preserve">5. Conclusion</w:t>
      </w:r>
    </w:p>
    <w:p>
      <w:pPr>
        <w:pStyle w:val="FirstParagraph"/>
      </w:pPr>
      <w:r>
        <w:t xml:space="preserve">This high-detail Product Carbon Footprint analysis provides</w:t>
      </w:r>
      <w:r>
        <w:t xml:space="preserve"> </w:t>
      </w:r>
      <w:r>
        <w:rPr>
          <w:bCs/>
          <w:b/>
        </w:rPr>
        <w:t xml:space="preserve">hpzfgldyyl</w:t>
      </w:r>
      <w:r>
        <w:t xml:space="preserve"> </w:t>
      </w:r>
      <w:r>
        <w:t xml:space="preserve">with a comprehensive understanding of the environmental impact of</w:t>
      </w:r>
      <w:r>
        <w:t xml:space="preserve"> </w:t>
      </w:r>
      <w:r>
        <w:rPr>
          <w:bCs/>
          <w:b/>
        </w:rPr>
        <w:t xml:space="preserve">uutzwxplrh</w:t>
      </w:r>
      <w:r>
        <w:t xml:space="preserve"> </w:t>
      </w:r>
      <w:r>
        <w:t xml:space="preserve">across its entire lifecycle. The identified hotspots offer clear targets for emission reduction efforts, aligning with the company\'s sustainability goals and the rigorous requirements of the GHG Protocol and upcoming 2026 LSR Standard. Continuous data collection, supplier engagement, and product innovation will be crucial for further refining this PCF and achieving significant decarbonization.</w:t>
      </w:r>
    </w:p>
    <w:p>
      <w:pPr>
        <w:pStyle w:val="BodyText"/>
      </w:pPr>
      <w:r>
        <w:t xml:space="preserve">Confidential - Internal Use Only | Page X of Y</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uutzwxplrh</dc:title>
  <dc:creator/>
  <dc:description>Detailed Product Carbon Footprint (PCF) analysis report for uutzwxplrh, performed by qnmughqydq for hpzfgldyyl, adhering to GHG Protocol standards and 2026 LSR updates.</dc:description>
  <dc:language>en</dc:language>
  <cp:keywords/>
  <dcterms:created xsi:type="dcterms:W3CDTF">2026-05-30T12:40:44Z</dcterms:created>
  <dcterms:modified xsi:type="dcterms:W3CDTF">2026-05-30T12:40:44Z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