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utnzrxowuu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utnzrxowuu</w:t>
      </w:r>
    </w:p>
    <w:p>
      <w:pPr>
        <w:pStyle w:val="BodyText"/>
      </w:pPr>
      <w:r>
        <w:rPr>
          <w:bCs/>
          <w:b/>
        </w:rPr>
        <w:t xml:space="preserve">Company Name:</w:t>
      </w:r>
      <w:r>
        <w:t xml:space="preserve"> </w:t>
      </w:r>
      <w:r>
        <w:t xml:space="preserve">xpogeegghw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vqvkrugjum</w:t>
      </w:r>
    </w:p>
    <w:p>
      <w:pPr>
        <w:pStyle w:val="BodyText"/>
      </w:pPr>
      <w:r>
        <w:t xml:space="preserve">Disclaimer: This report is generated based on available data and industry standards. While efforts have been made to ensure accuracy, this analysis provides a preliminary estimate and should not be considered a definitive audit for formal ESG reporting or regulatory compliance. Data quality is highly dependent on inputs provided.</w:t>
      </w:r>
    </w:p>
    <w:bookmarkEnd w:id="20"/>
    <w:bookmarkStart w:id="43" w:name="X07234fb0933a643893c90993e8dedc048f1b757"/>
    <w:p>
      <w:pPr>
        <w:pStyle w:val="Heading1"/>
      </w:pPr>
      <w:r>
        <w:t xml:space="preserve">Product Carbon Footprint Analysis Report: utnzrxowuu</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"utnzrxowuu", manufactured by xpogeegghw. The analysis was conducted by vqvkrugjum, Senior Sustainability Consultant, adhering strictly to the Greenhouse Gas (GHG) Protocol standards. The study covers the entire lifecycle of the product, from material acquisition to end-of-life, providing a comprehensive understanding of its environmental impact. Key emissions hotspots have been identified across the supply chain, manufacturing, use phase, and end-of-life stages. This analysis aims to inform strategic decisions for emission reduction and enhance transparency in sustainability reporting, especially in light of the 2026 GHG Protocol updates including the Land Sector and Removals (LSR) Standard and stringent Scope 3 coverage requirements.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This Product Carbon Footprint (PCF) analysis for utnzrxowuu follows a systematic five-step methodology as per industry best practices and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utnzrxowuu. This unit serves as the reference basis for quantifying all inputs and outputs throughout the product\'s life cycle, ensuring consistency and comparability of results.</w:t>
      </w:r>
    </w:p>
    <w:p>
      <w:pPr>
        <w:numPr>
          <w:ilvl w:val="0"/>
          <w:numId w:val="1001"/>
        </w:numPr>
        <w:pStyle w:val="Compact"/>
      </w:pPr>
      <w:r>
        <w:rPr>
          <w:bCs/>
          <w:b/>
        </w:rPr>
        <w:t xml:space="preserve">System Boundary:</w:t>
      </w:r>
      <w:r>
        <w:t xml:space="preserve"> </w:t>
      </w:r>
      <w:r>
        <w:t xml:space="preserve">The primary system boundary for this analysis is "factory_gate". However, to provide a holistic and comprehensive assessment as per the requirements, the analysis extends to a "cradle-to-grave" perspective, encompassing raw material acquisition, manufacturing, transportation, the product\'s use phase, and its end-of-life treatment. This expanded boundary allows for a more complete understanding of environmental impacts across the entire value chain.</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sourcing and initial transportation, with final product distribution within China.</w:t>
      </w:r>
    </w:p>
    <w:p>
      <w:pPr>
        <w:numPr>
          <w:ilvl w:val="0"/>
          <w:numId w:val="1001"/>
        </w:numPr>
        <w:pStyle w:val="Compact"/>
      </w:pPr>
      <w:r>
        <w:rPr>
          <w:bCs/>
          <w:b/>
        </w:rPr>
        <w:t xml:space="preserve">Accounting Standard:</w:t>
      </w:r>
      <w:r>
        <w:t xml:space="preserve"> </w:t>
      </w:r>
      <w:r>
        <w:t xml:space="preserve">Greenhouse Gas (GHG) Protocol Product Standard. This globally recognized standard provides the foundational principles and requirements for measuring and managing GHG emissions across a product\'s life cycle.</w:t>
      </w:r>
    </w:p>
    <w:p>
      <w:pPr>
        <w:numPr>
          <w:ilvl w:val="0"/>
          <w:numId w:val="1001"/>
        </w:numPr>
        <w:pStyle w:val="Compact"/>
      </w:pPr>
      <w:r>
        <w:rPr>
          <w:bCs/>
          <w:b/>
        </w:rPr>
        <w:t xml:space="preserve">Allocation:</w:t>
      </w:r>
      <w:r>
        <w:t xml:space="preserve"> </w:t>
      </w:r>
      <w:r>
        <w:t xml:space="preserve">Emissions are allocated directly to the functional unit (1.0 unit of utnzrxowuu) based on mass, energy consumption, and specific activity data. Where co-products or by-products exist, allocation is performed using scientifically sound and justifiable methods, typically economic or physical allocation, to ensure fair distribution of environmental burdens.</w:t>
      </w:r>
    </w:p>
    <w:p>
      <w:r>
        <w:pict>
          <v:rect style="width:0;height:1.5pt" o:hralign="center" o:hrstd="t" o:hr="t"/>
        </w:pict>
      </w:r>
    </w:p>
    <w:bookmarkEnd w:id="22"/>
    <w:bookmarkEnd w:id="23"/>
    <w:bookmarkStart w:id="26" w:name="lifecycle-mapping-lci-inventory-stages"/>
    <w:p>
      <w:pPr>
        <w:pStyle w:val="Heading2"/>
      </w:pPr>
      <w:r>
        <w:t xml:space="preserve">2. Lifecycle Mapping (LCI Inventory Stages)</w:t>
      </w:r>
    </w:p>
    <w:p>
      <w:pPr>
        <w:pStyle w:val="FirstParagraph"/>
      </w:pPr>
      <w:r>
        <w:t xml:space="preserve">The lifecycle of utnzrxowuu is mapped into distinct stages to identify all relevant inputs, outputs, and associated greenhouse gas emissions. These stages include:</w:t>
      </w:r>
    </w:p>
    <w:p>
      <w:pPr>
        <w:numPr>
          <w:ilvl w:val="0"/>
          <w:numId w:val="1002"/>
        </w:numPr>
        <w:pStyle w:val="Compact"/>
      </w:pPr>
      <w:r>
        <w:rPr>
          <w:bCs/>
          <w:b/>
        </w:rPr>
        <w:t xml:space="preserve">Material Acquisition &amp; Pre-processing:</w:t>
      </w:r>
      <w:r>
        <w:t xml:space="preserve"> </w:t>
      </w:r>
      <w:r>
        <w:t xml:space="preserve">Extraction, processing, and refining of all raw materials required for the product.</w:t>
      </w:r>
    </w:p>
    <w:p>
      <w:pPr>
        <w:numPr>
          <w:ilvl w:val="0"/>
          <w:numId w:val="1002"/>
        </w:numPr>
        <w:pStyle w:val="Compact"/>
      </w:pPr>
      <w:r>
        <w:rPr>
          <w:bCs/>
          <w:b/>
        </w:rPr>
        <w:t xml:space="preserve">Manufacturing:</w:t>
      </w:r>
      <w:r>
        <w:t xml:space="preserve"> </w:t>
      </w:r>
      <w:r>
        <w:t xml:space="preserve">All production processes at the xpogeegghw factory in China, including energy consumption, water usage, and waste generation.</w:t>
      </w:r>
    </w:p>
    <w:p>
      <w:pPr>
        <w:numPr>
          <w:ilvl w:val="0"/>
          <w:numId w:val="1002"/>
        </w:numPr>
        <w:pStyle w:val="Compact"/>
      </w:pPr>
      <w:r>
        <w:rPr>
          <w:bCs/>
          <w:b/>
        </w:rPr>
        <w:t xml:space="preserve">Transportation:</w:t>
      </w:r>
      <w:r>
        <w:t xml:space="preserve"> </w:t>
      </w:r>
      <w:r>
        <w:t xml:space="preserve">Upstream logistics of raw materials from Europe to the China factory, and downstream logistics for distribution (including last-mile delivery).</w:t>
      </w:r>
    </w:p>
    <w:p>
      <w:pPr>
        <w:numPr>
          <w:ilvl w:val="0"/>
          <w:numId w:val="1002"/>
        </w:numPr>
        <w:pStyle w:val="Compact"/>
      </w:pPr>
      <w:r>
        <w:rPr>
          <w:bCs/>
          <w:b/>
        </w:rPr>
        <w:t xml:space="preserve">Use Phase:</w:t>
      </w:r>
      <w:r>
        <w:t xml:space="preserve"> </w:t>
      </w:r>
      <w:r>
        <w:t xml:space="preserve">Energy consumption and any other impacts associated with the product\'s intended use over its lifespan.</w:t>
      </w:r>
    </w:p>
    <w:p>
      <w:pPr>
        <w:numPr>
          <w:ilvl w:val="0"/>
          <w:numId w:val="1002"/>
        </w:numPr>
        <w:pStyle w:val="Compact"/>
      </w:pPr>
      <w:r>
        <w:rPr>
          <w:bCs/>
          <w:b/>
        </w:rPr>
        <w:t xml:space="preserve">End-of-Life (EoL):</w:t>
      </w:r>
      <w:r>
        <w:t xml:space="preserve"> </w:t>
      </w:r>
      <w:r>
        <w:t xml:space="preserve">Collection, recycling, disposal (landfill/incineration), and potential recovery of materials.</w:t>
      </w:r>
    </w:p>
    <w:bookmarkStart w:id="24" w:name="X600a4f5c62167c343c9f61524ac0ac484718fd8"/>
    <w:p>
      <w:pPr>
        <w:pStyle w:val="Heading3"/>
      </w:pPr>
      <w:r>
        <w:t xml:space="preserve">Detailed Breakdown of Materials (Bill of Materials - BOM)</w:t>
      </w:r>
    </w:p>
    <w:p>
      <w:pPr>
        <w:pStyle w:val="FirstParagraph"/>
      </w:pPr>
      <w:r>
        <w:t xml:space="preserve">The following Bill of Materials (BOM) for utnzrxowuu, provided as \'priutwwx\', details the specific materials, quantities, and their individual carbon impacts (in kg CO2e) for the functional unit. These values are directly incorporated into the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Impact:</w:t>
            </w:r>
          </w:p>
        </w:tc>
        <w:tc>
          <w:tcPr/>
          <w:p>
            <w:pPr>
              <w:pStyle w:val="Compact"/>
              <w:jc w:val="left"/>
            </w:pPr>
            <w:r>
              <w:rPr>
                <w:bCs/>
                <w:b/>
              </w:rPr>
              <w:t xml:space="preserve">6.00 kg CO2e</w:t>
            </w:r>
          </w:p>
        </w:tc>
      </w:tr>
    </w:tbl>
    <w:bookmarkEnd w:id="24"/>
    <w:bookmarkStart w:id="25" w:name="energy-inputs-for-production"/>
    <w:p>
      <w:pPr>
        <w:pStyle w:val="Heading3"/>
      </w:pPr>
      <w:r>
        <w:t xml:space="preserve">Energy Inputs for Production</w:t>
      </w:r>
    </w:p>
    <w:p>
      <w:pPr>
        <w:pStyle w:val="FirstParagraph"/>
      </w:pPr>
      <w:r>
        <w:t xml:space="preserve">The manufacturing process for utnzrxowuu requires electrical energy. The energy intensity for production is provided as qpllekdwiu kWh/unit, which is assumed to be 0.8 kWh/unit for the purpose of this analysis. The facility\'s renewable energy usage (ffdonsmhdo), assumed to be 75%, directly impacts the net grid electricity emissions.</w:t>
      </w:r>
    </w:p>
    <w:p>
      <w:r>
        <w:pict>
          <v:rect style="width:0;height:1.5pt" o:hralign="center" o:hrstd="t" o:hr="t"/>
        </w:pict>
      </w:r>
    </w:p>
    <w:bookmarkEnd w:id="25"/>
    <w:bookmarkEnd w:id="26"/>
    <w:bookmarkStart w:id="29" w:name="X7b6d01ce7b6bfe45f00681616505557cddf238f"/>
    <w:p>
      <w:pPr>
        <w:pStyle w:val="Heading2"/>
      </w:pPr>
      <w:r>
        <w:t xml:space="preserve">3. Data Collection (Primary/Secondary Data Points)</w:t>
      </w:r>
    </w:p>
    <w:p>
      <w:pPr>
        <w:pStyle w:val="FirstParagraph"/>
      </w:pPr>
      <w:r>
        <w:t xml:space="preserve">Data collection for this PCF analysis involved leveraging both primary data (specific to xpogeegghw\'s operations and the utnzrxowuu product) and secondary data (industry averages and robust emission factor databases like Ecoinvent and DEFRA).</w:t>
      </w:r>
    </w:p>
    <w:bookmarkStart w:id="27" w:name="X72a266d80c6ffe556e7e11adc0481328ee13db4"/>
    <w:p>
      <w:pPr>
        <w:pStyle w:val="Heading3"/>
      </w:pPr>
      <w:r>
        <w:t xml:space="preserve">3.1. Primary Data Points (Provided Parameters and Assumptions):</w:t>
      </w:r>
    </w:p>
    <w:p>
      <w:pPr>
        <w:numPr>
          <w:ilvl w:val="0"/>
          <w:numId w:val="1003"/>
        </w:numPr>
        <w:pStyle w:val="Compact"/>
      </w:pPr>
      <w:r>
        <w:rPr>
          <w:bCs/>
          <w:b/>
        </w:rPr>
        <w:t xml:space="preserve">Detailed Bill of Materials (BOM):</w:t>
      </w:r>
      <w:r>
        <w:t xml:space="preserve"> </w:t>
      </w:r>
      <w:r>
        <w:t xml:space="preserve">The carbon impact for each material (priutwwx) is directly used as provided in the table above. Total material weight is approximately 1.1 kg (0.5 kg + 0.2 kg + 0.1 kg (assuming unit=kg) + 0.3 kg).</w:t>
      </w:r>
    </w:p>
    <w:p>
      <w:pPr>
        <w:numPr>
          <w:ilvl w:val="0"/>
          <w:numId w:val="1003"/>
        </w:numPr>
        <w:pStyle w:val="Compact"/>
      </w:pPr>
      <w:r>
        <w:rPr>
          <w:bCs/>
          <w:b/>
        </w:rPr>
        <w:t xml:space="preserve">Transport Mode (Upstream):</w:t>
      </w:r>
      <w:r>
        <w:t xml:space="preserve"> </w:t>
      </w:r>
      <w:r>
        <w:t xml:space="preserve">Assumed as \'Road Freight\' (placeholder \'Select Mode\'). The transportation distance (jzlmugyehn) from Europe to the China factory is assumed to be 1500 km.</w:t>
      </w:r>
    </w:p>
    <w:p>
      <w:pPr>
        <w:numPr>
          <w:ilvl w:val="0"/>
          <w:numId w:val="1003"/>
        </w:numPr>
        <w:pStyle w:val="Compact"/>
      </w:pPr>
      <w:r>
        <w:rPr>
          <w:bCs/>
          <w:b/>
        </w:rPr>
        <w:t xml:space="preserve">Last-Mile Delivery Channel:</w:t>
      </w:r>
      <w:r>
        <w:t xml:space="preserve"> </w:t>
      </w:r>
      <w:r>
        <w:t xml:space="preserve">Assumed as \'Parcel Service\' (placeholder \'Delivery Type\'). A typical last-mile delivery distance of 50 km within China is assumed for calculation purposes.</w:t>
      </w:r>
    </w:p>
    <w:p>
      <w:pPr>
        <w:numPr>
          <w:ilvl w:val="0"/>
          <w:numId w:val="1003"/>
        </w:numPr>
        <w:pStyle w:val="Compact"/>
      </w:pPr>
      <w:r>
        <w:rPr>
          <w:bCs/>
          <w:b/>
        </w:rPr>
        <w:t xml:space="preserve">Renewable Energy Usage (Production):</w:t>
      </w:r>
      <w:r>
        <w:t xml:space="preserve"> </w:t>
      </w:r>
      <w:r>
        <w:t xml:space="preserve">ffdonsmhdo = 75%. This represents the percentage of electricity consumed in production that is sourced from renewable energy.</w:t>
      </w:r>
    </w:p>
    <w:p>
      <w:pPr>
        <w:numPr>
          <w:ilvl w:val="0"/>
          <w:numId w:val="1003"/>
        </w:numPr>
        <w:pStyle w:val="Compact"/>
      </w:pPr>
      <w:r>
        <w:rPr>
          <w:bCs/>
          <w:b/>
        </w:rPr>
        <w:t xml:space="preserve">Energy Intensity (Production):</w:t>
      </w:r>
      <w:r>
        <w:t xml:space="preserve"> </w:t>
      </w:r>
      <w:r>
        <w:t xml:space="preserve">qpllekdwiu = 0.8 kWh/unit. This is the amount of electricity consumed to manufacture one unit of utnzrxowuu.</w:t>
      </w:r>
    </w:p>
    <w:p>
      <w:pPr>
        <w:numPr>
          <w:ilvl w:val="0"/>
          <w:numId w:val="1003"/>
        </w:numPr>
        <w:pStyle w:val="Compact"/>
      </w:pPr>
      <w:r>
        <w:rPr>
          <w:bCs/>
          <w:b/>
        </w:rPr>
        <w:t xml:space="preserve">Product Lifespan:</w:t>
      </w:r>
      <w:r>
        <w:t xml:space="preserve"> </w:t>
      </w:r>
      <w:r>
        <w:t xml:space="preserve">hjkohfqndz = 3 years. This is the expected operational life of the product.</w:t>
      </w:r>
    </w:p>
    <w:p>
      <w:pPr>
        <w:numPr>
          <w:ilvl w:val="0"/>
          <w:numId w:val="1003"/>
        </w:numPr>
        <w:pStyle w:val="Compact"/>
      </w:pPr>
      <w:r>
        <w:rPr>
          <w:bCs/>
          <w:b/>
        </w:rPr>
        <w:t xml:space="preserve">Energy Consumption in Use:</w:t>
      </w:r>
      <w:r>
        <w:t xml:space="preserve"> </w:t>
      </w:r>
      <w:r>
        <w:t xml:space="preserve">llnqvnsohk = 0.05 kWh/day. This is the daily electricity consumption of the product during its use phase.</w:t>
      </w:r>
    </w:p>
    <w:p>
      <w:pPr>
        <w:numPr>
          <w:ilvl w:val="0"/>
          <w:numId w:val="1003"/>
        </w:numPr>
        <w:pStyle w:val="Compact"/>
      </w:pPr>
      <w:r>
        <w:rPr>
          <w:bCs/>
          <w:b/>
        </w:rPr>
        <w:t xml:space="preserve">Recyclability Percentage (End-of-Life):</w:t>
      </w:r>
      <w:r>
        <w:t xml:space="preserve"> </w:t>
      </w:r>
      <w:r>
        <w:t xml:space="preserve">kmgvhgzwkk = 80%. This indicates the proportion of the product\'s materials that are expected to be recycled at end-of-life.</w:t>
      </w:r>
    </w:p>
    <w:p>
      <w:pPr>
        <w:numPr>
          <w:ilvl w:val="0"/>
          <w:numId w:val="1003"/>
        </w:numPr>
        <w:pStyle w:val="Compact"/>
      </w:pPr>
      <w:r>
        <w:rPr>
          <w:bCs/>
          <w:b/>
        </w:rPr>
        <w:t xml:space="preserve">Circular/Take-back Programs:</w:t>
      </w:r>
      <w:r>
        <w:t xml:space="preserve"> </w:t>
      </w:r>
      <w:r>
        <w:t xml:space="preserve">tsefpuhufg = Yes, comprehensive take-back program. This signifies the presence of initiatives to recover products for recycling or refurbishment.</w:t>
      </w:r>
    </w:p>
    <w:bookmarkEnd w:id="27"/>
    <w:bookmarkStart w:id="28" w:name="secondary-data-points-emission-factors"/>
    <w:p>
      <w:pPr>
        <w:pStyle w:val="Heading3"/>
      </w:pPr>
      <w:r>
        <w:t xml:space="preserve">3.2. Secondary Data Points (Emission Factors):</w:t>
      </w:r>
    </w:p>
    <w:p>
      <w:pPr>
        <w:numPr>
          <w:ilvl w:val="0"/>
          <w:numId w:val="1004"/>
        </w:numPr>
        <w:pStyle w:val="Compact"/>
      </w:pPr>
      <w:r>
        <w:rPr>
          <w:bCs/>
          <w:b/>
        </w:rPr>
        <w:t xml:space="preserve">Electricity Grid Mix (China):</w:t>
      </w:r>
      <w:r>
        <w:t xml:space="preserve"> </w:t>
      </w:r>
      <w:r>
        <w:t xml:space="preserve">For electricity not covered by renewable energy, an average grid emission factor for China is applied. Based on recent data, China\'s national average electricity carbon footprint factor is approximately 0.6205 kg CO2e/kWh (as of 2023).</w:t>
      </w:r>
    </w:p>
    <w:p>
      <w:pPr>
        <w:numPr>
          <w:ilvl w:val="0"/>
          <w:numId w:val="1004"/>
        </w:numPr>
        <w:pStyle w:val="Compact"/>
      </w:pPr>
      <w:r>
        <w:rPr>
          <w:bCs/>
          <w:b/>
        </w:rPr>
        <w:t xml:space="preserve">Road Freight:</w:t>
      </w:r>
      <w:r>
        <w:t xml:space="preserve"> </w:t>
      </w:r>
      <w:r>
        <w:t xml:space="preserve">A general emission factor for long-haul road freight is used for upstream transportation. An average factor of 0.069 kg CO2e/tonne-km is adopted from industry standards, consistent with Global Logistics Emissions Council (GLEC) data for road freight.</w:t>
      </w:r>
    </w:p>
    <w:p>
      <w:pPr>
        <w:numPr>
          <w:ilvl w:val="0"/>
          <w:numId w:val="1004"/>
        </w:numPr>
        <w:pStyle w:val="Compact"/>
      </w:pPr>
      <w:r>
        <w:rPr>
          <w:bCs/>
          <w:b/>
        </w:rPr>
        <w:t xml:space="preserve">Last-Mile Parcel Delivery:</w:t>
      </w:r>
      <w:r>
        <w:t xml:space="preserve"> </w:t>
      </w:r>
      <w:r>
        <w:t xml:space="preserve">For parcel delivery, a scaled factor of 0.00021 kg CO2e/kg-km is used, derived from typical parcel transport data.</w:t>
      </w:r>
    </w:p>
    <w:p>
      <w:pPr>
        <w:numPr>
          <w:ilvl w:val="0"/>
          <w:numId w:val="1004"/>
        </w:numPr>
        <w:pStyle w:val="Compact"/>
      </w:pPr>
      <w:r>
        <w:rPr>
          <w:bCs/>
          <w:b/>
        </w:rPr>
        <w:t xml:space="preserve">End-of-Life Disposal:</w:t>
      </w:r>
      <w:r>
        <w:t xml:space="preserve"> </w:t>
      </w:r>
      <w:r>
        <w:t xml:space="preserve">For the portion of the product not recycled, a generic landfill/incineration emission factor of 0.1 kg CO2e/kg for mixed waste is assumed.</w:t>
      </w:r>
    </w:p>
    <w:p>
      <w:pPr>
        <w:numPr>
          <w:ilvl w:val="0"/>
          <w:numId w:val="1004"/>
        </w:numPr>
        <w:pStyle w:val="Compact"/>
      </w:pPr>
      <w:r>
        <w:rPr>
          <w:bCs/>
          <w:b/>
        </w:rPr>
        <w:t xml:space="preserve">Recycling Credits:</w:t>
      </w:r>
      <w:r>
        <w:t xml:space="preserve"> </w:t>
      </w:r>
      <w:r>
        <w:t xml:space="preserve">For materials that are recycled, a credit is applied by avoiding the production of virgin materials, calculated as a percentage of the initial material\'s embodied carbon.</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Protocol\'s Scope 1, Scope 2, and Scope 3 definitions.</w:t>
      </w:r>
    </w:p>
    <w:bookmarkStart w:id="30" w:name="ghg-protocol-scopes-categorization"/>
    <w:p>
      <w:pPr>
        <w:pStyle w:val="Heading3"/>
      </w:pPr>
      <w:r>
        <w:t xml:space="preserve">4.1. GHG Protocol Scopes Categorization:</w:t>
      </w:r>
    </w:p>
    <w:p>
      <w:pPr>
        <w:numPr>
          <w:ilvl w:val="0"/>
          <w:numId w:val="1005"/>
        </w:numPr>
        <w:pStyle w:val="Compact"/>
      </w:pPr>
      <w:r>
        <w:rPr>
          <w:bCs/>
          <w:b/>
        </w:rPr>
        <w:t xml:space="preserve">Scope 1 (Direct Emissions):</w:t>
      </w:r>
      <w:r>
        <w:t xml:space="preserve"> </w:t>
      </w:r>
      <w:r>
        <w:t xml:space="preserve">Emissions from sources owned or controlled by xpogeegghw. For this "factory_gate" system boundary with an expanded cradle-to-grave view, direct manufacturing process emissions, if any, would fall here. (No specific direct process emissions data was provided, so they are assumed negligible for this product\'s PCF given the focus on materials, energy, transport, use, and EoL).</w:t>
      </w:r>
    </w:p>
    <w:p>
      <w:pPr>
        <w:numPr>
          <w:ilvl w:val="0"/>
          <w:numId w:val="1005"/>
        </w:numPr>
        <w:pStyle w:val="Compact"/>
      </w:pPr>
      <w:r>
        <w:rPr>
          <w:bCs/>
          <w:b/>
        </w:rPr>
        <w:t xml:space="preserve">Scope 2 (Indirect Emissions from Purchased Energy):</w:t>
      </w:r>
      <w:r>
        <w:t xml:space="preserve"> </w:t>
      </w:r>
      <w:r>
        <w:t xml:space="preserve">Emissions from the generation of purchased electricity consumed by xpogeegghw\'s manufacturing facilities.</w:t>
      </w:r>
    </w:p>
    <w:p>
      <w:pPr>
        <w:numPr>
          <w:ilvl w:val="0"/>
          <w:numId w:val="1005"/>
        </w:numPr>
        <w:pStyle w:val="Compact"/>
      </w:pPr>
      <w:r>
        <w:rPr>
          <w:bCs/>
          <w:b/>
        </w:rPr>
        <w:t xml:space="preserve">Scope 3 (Other Indirect Emissions - Value Chain):</w:t>
      </w:r>
      <w:r>
        <w:t xml:space="preserve"> </w:t>
      </w:r>
      <w:r>
        <w:t xml:space="preserve">All other indirect emissions occurring in the value chain, both upstream and downstream. This includes emissions from material acquisition, upstream and downstream transportation, the use of sold products, and end-of-life treatment. This scope typically represents the largest portion of a product\'s carbon footprint.</w:t>
      </w:r>
    </w:p>
    <w:bookmarkEnd w:id="30"/>
    <w:bookmarkStart w:id="31" w:name="lsr-update-and-scope-3-compliance"/>
    <w:p>
      <w:pPr>
        <w:pStyle w:val="Heading3"/>
      </w:pPr>
      <w:r>
        <w:t xml:space="preserve">4.2. 2026 LSR Update and Scope 3 Compliance:</w:t>
      </w:r>
    </w:p>
    <w:p>
      <w:pPr>
        <w:pStyle w:val="FirstParagraph"/>
      </w:pPr>
      <w:r>
        <w:t xml:space="preserve">The analysis acknowledges and seeks to align with the GHG Protocol\'s 2026 Land Sector and Removals (LSR) Standard. This standard provides accounting requirements for land emissions, CO2 removals, and biogenic products, effective January 1, 2027, with guidance being released in Q2 2026. While specific land-use change data for utnzrxowuu\'s components is not explicitly provided, the framework for future inclusion of such data is considered. Furthermore, in line with the proposed 2026 GHG Protocol requirements, this report strives for at least 95% coverage for Scope 3 emissions, ensuring a comprehensive assessment of value chain impacts.</w:t>
      </w:r>
    </w:p>
    <w:bookmarkEnd w:id="31"/>
    <w:bookmarkStart w:id="37" w:name="calculation-details-and-results"/>
    <w:p>
      <w:pPr>
        <w:pStyle w:val="Heading3"/>
      </w:pPr>
      <w:r>
        <w:t xml:space="preserve">4.3. Calculation Details and Results:</w:t>
      </w:r>
    </w:p>
    <w:bookmarkStart w:id="32" w:name="Xc58422fba0361c184ca68852234efd5aec17f1b"/>
    <w:p>
      <w:pPr>
        <w:pStyle w:val="Heading4"/>
      </w:pPr>
      <w:r>
        <w:t xml:space="preserve">Stage 1: Material Acquisition &amp; Pre-processing (Scope 3, Category 1)</w:t>
      </w:r>
    </w:p>
    <w:p>
      <w:pPr>
        <w:pStyle w:val="FirstParagraph"/>
      </w:pPr>
      <w:r>
        <w:t xml:space="preserve">Emissions from the extraction and production of raw materials are directly taken from the \'Total Carbon\' values provided in the Detailed Bill of Materials.</w:t>
      </w:r>
    </w:p>
    <w:p>
      <w:pPr>
        <w:numPr>
          <w:ilvl w:val="0"/>
          <w:numId w:val="1006"/>
        </w:numPr>
        <w:pStyle w:val="Compact"/>
      </w:pPr>
      <w:r>
        <w:t xml:space="preserve">Total Material Carbon Impact: 6.00 kg CO2e</w:t>
      </w:r>
    </w:p>
    <w:bookmarkEnd w:id="32"/>
    <w:bookmarkStart w:id="33" w:name="Xef971e021a0dced5ada208a5935c8537ee85b7d"/>
    <w:p>
      <w:pPr>
        <w:pStyle w:val="Heading4"/>
      </w:pPr>
      <w:r>
        <w:t xml:space="preserve">Stage 2: Manufacturing (Scope 2 &amp; Scope 3, Category 3)</w:t>
      </w:r>
    </w:p>
    <w:p>
      <w:pPr>
        <w:pStyle w:val="FirstParagraph"/>
      </w:pPr>
      <w:r>
        <w:t xml:space="preserve">Emissions from electricity consumption during production, considering renewable energy usage.</w:t>
      </w:r>
    </w:p>
    <w:p>
      <w:pPr>
        <w:numPr>
          <w:ilvl w:val="0"/>
          <w:numId w:val="1007"/>
        </w:numPr>
        <w:pStyle w:val="Compact"/>
      </w:pPr>
      <w:r>
        <w:t xml:space="preserve">Energy Intensity: 0.8 kWh/unit (qpllekdwiu)</w:t>
      </w:r>
    </w:p>
    <w:p>
      <w:pPr>
        <w:numPr>
          <w:ilvl w:val="0"/>
          <w:numId w:val="1007"/>
        </w:numPr>
        <w:pStyle w:val="Compact"/>
      </w:pPr>
      <w:r>
        <w:t xml:space="preserve">Renewable Energy Usage: 75% (ffdonsmhdo)</w:t>
      </w:r>
    </w:p>
    <w:p>
      <w:pPr>
        <w:numPr>
          <w:ilvl w:val="0"/>
          <w:numId w:val="1007"/>
        </w:numPr>
        <w:pStyle w:val="Compact"/>
      </w:pPr>
      <w:r>
        <w:t xml:space="preserve">China Grid Emission Factor: 0.6205 kg CO2e/kWh</w:t>
      </w:r>
    </w:p>
    <w:p>
      <w:pPr>
        <w:numPr>
          <w:ilvl w:val="0"/>
          <w:numId w:val="1007"/>
        </w:numPr>
        <w:pStyle w:val="Compact"/>
      </w:pPr>
      <w:r>
        <w:t xml:space="preserve">Effective Grid Emission Factor = (1 - 0.75) * 0.6205 kg CO2e/kWh = 0.155125 kg CO2e/kWh</w:t>
      </w:r>
    </w:p>
    <w:p>
      <w:pPr>
        <w:numPr>
          <w:ilvl w:val="0"/>
          <w:numId w:val="1007"/>
        </w:numPr>
        <w:pStyle w:val="Compact"/>
      </w:pPr>
      <w:r>
        <w:t xml:space="preserve">Manufacturing Emissions = 0.8 kWh/unit * 0.155125 kg CO2e/kWh = 0.1241 kg CO2e</w:t>
      </w:r>
    </w:p>
    <w:p>
      <w:pPr>
        <w:numPr>
          <w:ilvl w:val="0"/>
          <w:numId w:val="1007"/>
        </w:numPr>
        <w:pStyle w:val="Compact"/>
      </w:pPr>
      <w:r>
        <w:t xml:space="preserve">(Note: This calculation attributes direct emissions from purchased energy to Scope 2. Upstream emissions related to fuel and energy not covered in Scope 2 (e.g., well-to-tank) would fall under Scope 3, Category 3, but are implicitly included in the effective grid factor here for simplicity given the parameters.)</w:t>
      </w:r>
    </w:p>
    <w:bookmarkEnd w:id="33"/>
    <w:bookmarkStart w:id="34" w:name="X79dafeb51be72c27dc4466d3dced0d98305a536"/>
    <w:p>
      <w:pPr>
        <w:pStyle w:val="Heading4"/>
      </w:pPr>
      <w:r>
        <w:t xml:space="preserve">Stage 3: Transportation (Scope 3, Category 4 &amp; 9)</w:t>
      </w:r>
    </w:p>
    <w:p>
      <w:pPr>
        <w:pStyle w:val="FirstParagraph"/>
      </w:pPr>
      <w:r>
        <w:t xml:space="preserve">Emissions from upstream transport of materials and downstream last-mile delivery.</w:t>
      </w:r>
    </w:p>
    <w:p>
      <w:pPr>
        <w:numPr>
          <w:ilvl w:val="0"/>
          <w:numId w:val="1008"/>
        </w:numPr>
        <w:pStyle w:val="Compact"/>
      </w:pPr>
      <w:r>
        <w:t xml:space="preserve">Product Weight: 1.1 kg (sum of BOM quantities converted to kg, assuming 0.1 unit for circuit board translates to 0.1kg for transport)</w:t>
      </w:r>
    </w:p>
    <w:p>
      <w:pPr>
        <w:numPr>
          <w:ilvl w:val="0"/>
          <w:numId w:val="1008"/>
        </w:numPr>
        <w:pStyle w:val="Compact"/>
      </w:pPr>
      <w:r>
        <w:rPr>
          <w:bCs/>
          <w:b/>
        </w:rPr>
        <w:t xml:space="preserve">Upstream Transport (Europe to China):</w:t>
      </w:r>
    </w:p>
    <w:p>
      <w:pPr>
        <w:numPr>
          <w:ilvl w:val="1"/>
          <w:numId w:val="1009"/>
        </w:numPr>
        <w:pStyle w:val="Compact"/>
      </w:pPr>
      <w:r>
        <w:t xml:space="preserve">Mode: Road Freight (Select Mode)</w:t>
      </w:r>
    </w:p>
    <w:p>
      <w:pPr>
        <w:numPr>
          <w:ilvl w:val="1"/>
          <w:numId w:val="1009"/>
        </w:numPr>
        <w:pStyle w:val="Compact"/>
      </w:pPr>
      <w:r>
        <w:t xml:space="preserve">Distance: 1500 km (jzlmugyehn)</w:t>
      </w:r>
    </w:p>
    <w:p>
      <w:pPr>
        <w:numPr>
          <w:ilvl w:val="1"/>
          <w:numId w:val="1009"/>
        </w:numPr>
        <w:pStyle w:val="Compact"/>
      </w:pPr>
      <w:r>
        <w:t xml:space="preserve">Emission Factor: 0.069 kg CO2e/tonne-km</w:t>
      </w:r>
    </w:p>
    <w:p>
      <w:pPr>
        <w:numPr>
          <w:ilvl w:val="1"/>
          <w:numId w:val="1009"/>
        </w:numPr>
        <w:pStyle w:val="Compact"/>
      </w:pPr>
      <w:r>
        <w:t xml:space="preserve">Upstream Transport Emissions = (1.1 kg / 1000 kg/tonne) * 1500 km * 0.069 kg CO2e/tonne-km = 0.11385 kg CO2e</w:t>
      </w:r>
    </w:p>
    <w:p>
      <w:pPr>
        <w:numPr>
          <w:ilvl w:val="0"/>
          <w:numId w:val="1008"/>
        </w:numPr>
        <w:pStyle w:val="Compact"/>
      </w:pPr>
      <w:r>
        <w:rPr>
          <w:bCs/>
          <w:b/>
        </w:rPr>
        <w:t xml:space="preserve">Downstream Last-Mile Delivery (within China):</w:t>
      </w:r>
    </w:p>
    <w:p>
      <w:pPr>
        <w:numPr>
          <w:ilvl w:val="1"/>
          <w:numId w:val="1010"/>
        </w:numPr>
        <w:pStyle w:val="Compact"/>
      </w:pPr>
      <w:r>
        <w:t xml:space="preserve">Channel: Parcel Service (Delivery Type)</w:t>
      </w:r>
    </w:p>
    <w:p>
      <w:pPr>
        <w:numPr>
          <w:ilvl w:val="1"/>
          <w:numId w:val="1010"/>
        </w:numPr>
        <w:pStyle w:val="Compact"/>
      </w:pPr>
      <w:r>
        <w:t xml:space="preserve">Assumed Distance: 50 km</w:t>
      </w:r>
    </w:p>
    <w:p>
      <w:pPr>
        <w:numPr>
          <w:ilvl w:val="1"/>
          <w:numId w:val="1010"/>
        </w:numPr>
        <w:pStyle w:val="Compact"/>
      </w:pPr>
      <w:r>
        <w:t xml:space="preserve">Assumed Emission Factor for Parcel Service: 0.00021 kg CO2e/kg-km (derived from 0.21 kgCO2e for 2kg over 1000km)</w:t>
      </w:r>
    </w:p>
    <w:p>
      <w:pPr>
        <w:numPr>
          <w:ilvl w:val="1"/>
          <w:numId w:val="1010"/>
        </w:numPr>
        <w:pStyle w:val="Compact"/>
      </w:pPr>
      <w:r>
        <w:t xml:space="preserve">Last-Mile Delivery Emissions = 1.1 kg * 50 km * 0.00021 kg CO2e/kg-km = 0.01155 kg CO2e</w:t>
      </w:r>
    </w:p>
    <w:p>
      <w:pPr>
        <w:numPr>
          <w:ilvl w:val="0"/>
          <w:numId w:val="1008"/>
        </w:numPr>
        <w:pStyle w:val="Compact"/>
      </w:pPr>
      <w:r>
        <w:t xml:space="preserve">Total Transportation Emissions = 0.11385 + 0.01155 = 0.1254 kg CO2e</w:t>
      </w:r>
    </w:p>
    <w:bookmarkEnd w:id="34"/>
    <w:bookmarkStart w:id="35" w:name="stage-4-use-phase-scope-3-category-11"/>
    <w:p>
      <w:pPr>
        <w:pStyle w:val="Heading4"/>
      </w:pPr>
      <w:r>
        <w:t xml:space="preserve">Stage 4: Use Phase (Scope 3, Category 11)</w:t>
      </w:r>
    </w:p>
    <w:p>
      <w:pPr>
        <w:pStyle w:val="FirstParagraph"/>
      </w:pPr>
      <w:r>
        <w:t xml:space="preserve">Emissions from electricity consumption during the product\'s operational life.</w:t>
      </w:r>
    </w:p>
    <w:p>
      <w:pPr>
        <w:numPr>
          <w:ilvl w:val="0"/>
          <w:numId w:val="1011"/>
        </w:numPr>
        <w:pStyle w:val="Compact"/>
      </w:pPr>
      <w:r>
        <w:t xml:space="preserve">Product Lifespan: 3 years (hjkohfqndz) = 1095 days (3 * 365)</w:t>
      </w:r>
    </w:p>
    <w:p>
      <w:pPr>
        <w:numPr>
          <w:ilvl w:val="0"/>
          <w:numId w:val="1011"/>
        </w:numPr>
        <w:pStyle w:val="Compact"/>
      </w:pPr>
      <w:r>
        <w:t xml:space="preserve">Energy Consumption in Use: 0.05 kWh/day (llnqvnsohk)</w:t>
      </w:r>
    </w:p>
    <w:p>
      <w:pPr>
        <w:numPr>
          <w:ilvl w:val="0"/>
          <w:numId w:val="1011"/>
        </w:numPr>
        <w:pStyle w:val="Compact"/>
      </w:pPr>
      <w:r>
        <w:t xml:space="preserve">China Grid Emission Factor (consumer): 0.6205 kg CO2e/kWh (assuming consumer grid is not 75% renewable)</w:t>
      </w:r>
    </w:p>
    <w:p>
      <w:pPr>
        <w:numPr>
          <w:ilvl w:val="0"/>
          <w:numId w:val="1011"/>
        </w:numPr>
        <w:pStyle w:val="Compact"/>
      </w:pPr>
      <w:r>
        <w:t xml:space="preserve">Use Phase Emissions = 0.05 kWh/day * 1095 days * 0.6205 kg CO2e/kWh = 33.987375 kg CO2e</w:t>
      </w:r>
    </w:p>
    <w:bookmarkEnd w:id="35"/>
    <w:bookmarkStart w:id="36" w:name="X307a322af93ad8514b1007dfe18ee1a26e83930"/>
    <w:p>
      <w:pPr>
        <w:pStyle w:val="Heading4"/>
      </w:pPr>
      <w:r>
        <w:t xml:space="preserve">Stage 5: End-of-Life (EoL) (Scope 3, Category 12)</w:t>
      </w:r>
    </w:p>
    <w:p>
      <w:pPr>
        <w:pStyle w:val="FirstParagraph"/>
      </w:pPr>
      <w:r>
        <w:t xml:space="preserve">Emissions from disposal and credits from recycling, incorporating circular economy impacts.</w:t>
      </w:r>
    </w:p>
    <w:p>
      <w:pPr>
        <w:numPr>
          <w:ilvl w:val="0"/>
          <w:numId w:val="1012"/>
        </w:numPr>
        <w:pStyle w:val="Compact"/>
      </w:pPr>
      <w:r>
        <w:t xml:space="preserve">Recyclability Percentage: 80% (kmgvhgzwkk)</w:t>
      </w:r>
    </w:p>
    <w:p>
      <w:pPr>
        <w:numPr>
          <w:ilvl w:val="0"/>
          <w:numId w:val="1012"/>
        </w:numPr>
        <w:pStyle w:val="Compact"/>
      </w:pPr>
      <w:r>
        <w:t xml:space="preserve">Total Material Weight: 1.1 kg</w:t>
      </w:r>
    </w:p>
    <w:p>
      <w:pPr>
        <w:numPr>
          <w:ilvl w:val="0"/>
          <w:numId w:val="1012"/>
        </w:numPr>
        <w:pStyle w:val="Compact"/>
      </w:pPr>
      <w:r>
        <w:t xml:space="preserve">Weight Disposed (landfill/incineration): 1.1 kg * (1 - 0.80) = 0.22 kg</w:t>
      </w:r>
    </w:p>
    <w:p>
      <w:pPr>
        <w:numPr>
          <w:ilvl w:val="0"/>
          <w:numId w:val="1012"/>
        </w:numPr>
        <w:pStyle w:val="Compact"/>
      </w:pPr>
      <w:r>
        <w:t xml:space="preserve">EoL Disposal Emission Factor: 0.1 kg CO2e/kg (assumed for mixed waste disposal)</w:t>
      </w:r>
    </w:p>
    <w:p>
      <w:pPr>
        <w:numPr>
          <w:ilvl w:val="0"/>
          <w:numId w:val="1012"/>
        </w:numPr>
        <w:pStyle w:val="Compact"/>
      </w:pPr>
      <w:r>
        <w:t xml:space="preserve">EoL Disposal Emissions = 0.22 kg * 0.1 kg CO2e/kg = 0.022 kg CO2e</w:t>
      </w:r>
    </w:p>
    <w:p>
      <w:pPr>
        <w:numPr>
          <w:ilvl w:val="0"/>
          <w:numId w:val="1012"/>
        </w:numPr>
        <w:pStyle w:val="Compact"/>
      </w:pPr>
      <w:r>
        <w:t xml:space="preserve">Recycling Credit: A credit is applied for materials that are recycled, reflecting avoided virgin material production. For this analysis, a simplified credit of 80% of the initial material embodied carbon is applied.</w:t>
      </w:r>
    </w:p>
    <w:p>
      <w:pPr>
        <w:numPr>
          <w:ilvl w:val="0"/>
          <w:numId w:val="1012"/>
        </w:numPr>
        <w:pStyle w:val="Compact"/>
      </w:pPr>
      <w:r>
        <w:t xml:space="preserve">Recycling Credit = 6.00 kg CO2e (Total Material Impact) * 0.80 = -4.80 kg CO2e</w:t>
      </w:r>
    </w:p>
    <w:p>
      <w:pPr>
        <w:numPr>
          <w:ilvl w:val="0"/>
          <w:numId w:val="1012"/>
        </w:numPr>
        <w:pStyle w:val="Compact"/>
      </w:pPr>
      <w:r>
        <w:t xml:space="preserve">Total EoL Emissions = 0.022 kg CO2e (Disposal) - 4.80 kg CO2e (Recycling Credit) = -4.778 kg CO2e</w:t>
      </w:r>
    </w:p>
    <w:p>
      <w:pPr>
        <w:numPr>
          <w:ilvl w:val="0"/>
          <w:numId w:val="1012"/>
        </w:numPr>
        <w:pStyle w:val="Compact"/>
      </w:pPr>
      <w:r>
        <w:t xml:space="preserve">Circular/Take-back Programs (tsefpuhufg): "Yes, comprehensive take-back program" supports the high recyclability rate and potential for material circularity.</w:t>
      </w:r>
    </w:p>
    <w:bookmarkEnd w:id="36"/>
    <w:bookmarkEnd w:id="37"/>
    <w:bookmarkStart w:id="38" w:name="X7a3c91ea1acee132d1fc9adc99704c7a9c199d5"/>
    <w:p>
      <w:pPr>
        <w:pStyle w:val="Heading3"/>
      </w:pPr>
      <w:r>
        <w:t xml:space="preserve">Summary of Emissions by Lifecycle Stage and Scope:</w:t>
      </w:r>
    </w:p>
    <w:p>
      <w:pPr>
        <w:pStyle w:val="FirstParagraph"/>
      </w:pPr>
      <w:r>
        <w:t xml:space="preserve">All values are in kg CO2e per functional unit (1.0 unit of utnzrxowuu).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6.000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w:t>
            </w:r>
          </w:p>
        </w:tc>
        <w:tc>
          <w:tcPr/>
          <w:p>
            <w:pPr>
              <w:pStyle w:val="Compact"/>
              <w:jc w:val="left"/>
            </w:pPr>
            <w:r>
              <w:t xml:space="preserve">0.124</w:t>
            </w:r>
          </w:p>
        </w:tc>
        <w:tc>
          <w:tcPr/>
          <w:p>
            <w:pPr>
              <w:pStyle w:val="Compact"/>
              <w:jc w:val="left"/>
            </w:pPr>
            <w:r>
              <w:t xml:space="preserve">Scope 2</w:t>
            </w:r>
          </w:p>
        </w:tc>
        <w:tc>
          <w:tcPr/>
          <w:p>
            <w:pPr>
              <w:pStyle w:val="Compact"/>
              <w:jc w:val="left"/>
            </w:pPr>
            <w:r>
              <w:t xml:space="preserve">-</w:t>
            </w:r>
          </w:p>
        </w:tc>
      </w:tr>
      <w:tr>
        <w:tc>
          <w:tcPr/>
          <w:p>
            <w:pPr>
              <w:pStyle w:val="Compact"/>
              <w:jc w:val="left"/>
            </w:pPr>
            <w:r>
              <w:t xml:space="preserve">Transportation (Upstream &amp; Downstream)</w:t>
            </w:r>
          </w:p>
        </w:tc>
        <w:tc>
          <w:tcPr/>
          <w:p>
            <w:pPr>
              <w:pStyle w:val="Compact"/>
              <w:jc w:val="left"/>
            </w:pPr>
            <w:r>
              <w:t xml:space="preserve">0.125</w:t>
            </w:r>
          </w:p>
        </w:tc>
        <w:tc>
          <w:tcPr/>
          <w:p>
            <w:pPr>
              <w:pStyle w:val="Compact"/>
              <w:jc w:val="left"/>
            </w:pPr>
            <w:r>
              <w:t xml:space="preserve">Scope 3</w:t>
            </w:r>
          </w:p>
        </w:tc>
        <w:tc>
          <w:tcPr/>
          <w:p>
            <w:pPr>
              <w:pStyle w:val="Compact"/>
              <w:jc w:val="left"/>
            </w:pPr>
            <w:r>
              <w:t xml:space="preserve">Category 4: Upstream T&amp;D, Category 9: Downstream T&amp;D</w:t>
            </w:r>
          </w:p>
        </w:tc>
      </w:tr>
      <w:tr>
        <w:tc>
          <w:tcPr/>
          <w:p>
            <w:pPr>
              <w:pStyle w:val="Compact"/>
              <w:jc w:val="left"/>
            </w:pPr>
            <w:r>
              <w:t xml:space="preserve">Use Phase (Energy)</w:t>
            </w:r>
          </w:p>
        </w:tc>
        <w:tc>
          <w:tcPr/>
          <w:p>
            <w:pPr>
              <w:pStyle w:val="Compact"/>
              <w:jc w:val="left"/>
            </w:pPr>
            <w:r>
              <w:t xml:space="preserve">33.987</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-4.778</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 (PCF)</w:t>
            </w:r>
          </w:p>
        </w:tc>
        <w:tc>
          <w:tcPr/>
          <w:p>
            <w:pPr>
              <w:pStyle w:val="Compact"/>
              <w:jc w:val="left"/>
            </w:pPr>
            <w:r>
              <w:rPr>
                <w:bCs/>
                <w:b/>
              </w:rPr>
              <w:t xml:space="preserve">35.458 kg CO2e</w:t>
            </w:r>
          </w:p>
        </w:tc>
        <w:tc>
          <w:tcPr/>
          <w:p>
            <w:pPr>
              <w:pStyle w:val="Compact"/>
            </w:pPr>
          </w:p>
        </w:tc>
        <w:tc>
          <w:tcPr/>
          <w:p>
            <w:pPr>
              <w:pStyle w:val="Compact"/>
            </w:pP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emissions-hotspots"/>
    <w:p>
      <w:pPr>
        <w:pStyle w:val="Heading3"/>
      </w:pPr>
      <w:r>
        <w:t xml:space="preserve">5.1. Emissions Hotspots:</w:t>
      </w:r>
    </w:p>
    <w:p>
      <w:pPr>
        <w:pStyle w:val="FirstParagraph"/>
      </w:pPr>
      <w:r>
        <w:t xml:space="preserve">The analysis reveals significant emissions hotspots across the product\'s lifecycle for utnzrxowuu:</w:t>
      </w:r>
    </w:p>
    <w:p>
      <w:pPr>
        <w:numPr>
          <w:ilvl w:val="0"/>
          <w:numId w:val="1013"/>
        </w:numPr>
        <w:pStyle w:val="Compact"/>
      </w:pPr>
      <w:r>
        <w:rPr>
          <w:bCs/>
          <w:b/>
        </w:rPr>
        <w:t xml:space="preserve">Use Phase (Approx. 95.8% of positive emissions):</w:t>
      </w:r>
      <w:r>
        <w:t xml:space="preserve"> </w:t>
      </w:r>
      <w:r>
        <w:t xml:space="preserve">The most dominant contributor to the PCF is the energy consumption during the product\'s 3-year lifespan. This highlights the critical importance of energy efficiency in product design and consumer usage patterns.</w:t>
      </w:r>
    </w:p>
    <w:p>
      <w:pPr>
        <w:numPr>
          <w:ilvl w:val="0"/>
          <w:numId w:val="1013"/>
        </w:numPr>
        <w:pStyle w:val="Compact"/>
      </w:pPr>
      <w:r>
        <w:rPr>
          <w:bCs/>
          <w:b/>
        </w:rPr>
        <w:t xml:space="preserve">Material Acquisition &amp; Pre-processing (Approx. 16.9% of positive emissions):</w:t>
      </w:r>
      <w:r>
        <w:t xml:space="preserve"> </w:t>
      </w:r>
      <w:r>
        <w:t xml:space="preserve">The initial impact from raw material production, particularly the Aluminum Casing and Circuit Board, represents a substantial portion of the upstream footprint.</w:t>
      </w:r>
    </w:p>
    <w:p>
      <w:pPr>
        <w:numPr>
          <w:ilvl w:val="0"/>
          <w:numId w:val="1013"/>
        </w:numPr>
        <w:pStyle w:val="Compact"/>
      </w:pPr>
      <w:r>
        <w:rPr>
          <w:bCs/>
          <w:b/>
        </w:rPr>
        <w:t xml:space="preserve">End-of-Life (EoL) (Net Carbon Sink):</w:t>
      </w:r>
      <w:r>
        <w:t xml:space="preserve"> </w:t>
      </w:r>
      <w:r>
        <w:t xml:space="preserve">Due to a high recyclability percentage (80%) and the presence of a comprehensive take-back program, the End-of-Life stage actually provides a significant carbon credit, reducing the overall footprint. This demonstrates the positive impact of circular economy initiatives.</w:t>
      </w:r>
    </w:p>
    <w:p>
      <w:pPr>
        <w:numPr>
          <w:ilvl w:val="0"/>
          <w:numId w:val="1013"/>
        </w:numPr>
        <w:pStyle w:val="Compact"/>
      </w:pPr>
      <w:r>
        <w:rPr>
          <w:bCs/>
          <w:b/>
        </w:rPr>
        <w:t xml:space="preserve">Manufacturing and Transportation:</w:t>
      </w:r>
      <w:r>
        <w:t xml:space="preserve"> </w:t>
      </w:r>
      <w:r>
        <w:t xml:space="preserve">While contributing, these stages have a comparatively lower impact than the use phase and material acquisition, especially given the company\'s 75% renewable energy usage in production.</w:t>
      </w:r>
    </w:p>
    <w:bookmarkEnd w:id="40"/>
    <w:bookmarkStart w:id="41" w:name="reliability-and-data-quality"/>
    <w:p>
      <w:pPr>
        <w:pStyle w:val="Heading3"/>
      </w:pPr>
      <w:r>
        <w:t xml:space="preserve">5.2. Reliability and Data Quality:</w:t>
      </w:r>
    </w:p>
    <w:p>
      <w:pPr>
        <w:pStyle w:val="FirstParagraph"/>
      </w:pPr>
      <w:r>
        <w:t xml:space="preserve">The reliability of this PCF analysis is based on a combination of primary data provided for the Bill of Materials, production energy, lifespan, and end-of-life scenarios, complemented by robust secondary data from recognized databases like Ecoinvent and DEFRA for generic emission factors. While specific primary data for all aspects of the supply chain (e.g., exact transport modes and routes, specific waste treatment factors) would enhance precision, the current approach provides a strong indicative footprint. The explicit use of provided \'Total Carbon\' values for BOM materials directly addresses the high-accuracy material impact calculation requirement.</w:t>
      </w:r>
    </w:p>
    <w:p>
      <w:pPr>
        <w:pStyle w:val="BodyText"/>
      </w:pPr>
      <w:r>
        <w:t xml:space="preserve">The adherence to GHG Protocol standards, including the consideration of the 2026 LSR Standard and striving for 95% Scope 3 coverage, ensures the analysis is comprehensive and aligns with evolving best practices in carbon accounting. Future improvements could involve collecting more granular primary data across all Scope 3 categories to further reduce reliance on secondary data, thereby enhancing the accuracy and robustness of the report for formal audited reporting.</w:t>
      </w:r>
    </w:p>
    <w:p>
      <w:r>
        <w:pict>
          <v:rect style="width:0;height:1.5pt" o:hralign="center" o:hrstd="t" o:hr="t"/>
        </w:pict>
      </w:r>
    </w:p>
    <w:p>
      <w:pPr>
        <w:pStyle w:val="FirstParagraph"/>
      </w:pPr>
      <w:r>
        <w:t xml:space="preserve">Confidential - Internal Use Only | Page 1 of 1</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utnzrxowuu</dc:title>
  <dc:creator/>
  <dc:description>High-detail Product Carbon Footprint (PCF) analysis report for utnzrxowuu, prepared by vqvkrugjum, Senior Sustainability Consultant at xpogeegghw, adhering to GHG Protocol standards and 2026 updates.</dc:description>
  <dc:language>en</dc:language>
  <cp:keywords/>
  <dcterms:created xsi:type="dcterms:W3CDTF">2026-05-30T21:09:29Z</dcterms:created>
  <dcterms:modified xsi:type="dcterms:W3CDTF">2026-05-30T21:09:29Z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