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utmlmhpqml</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utmlmhpqml"/>
    <w:p>
      <w:pPr>
        <w:pStyle w:val="Heading2"/>
      </w:pPr>
      <w:r>
        <w:t xml:space="preserve">For Product: utmlmhpqml</w:t>
      </w:r>
    </w:p>
    <w:p>
      <w:pPr>
        <w:pStyle w:val="FirstParagraph"/>
      </w:pPr>
      <w:r>
        <w:rPr>
          <w:bCs/>
          <w:b/>
        </w:rPr>
        <w:t xml:space="preserve">Company Name:</w:t>
      </w:r>
      <w:r>
        <w:t xml:space="preserve"> </w:t>
      </w:r>
      <w:r>
        <w:t xml:space="preserve">gqyxnwmmli</w:t>
      </w:r>
    </w:p>
    <w:p>
      <w:pPr>
        <w:pStyle w:val="BodyText"/>
      </w:pPr>
      <w:r>
        <w:rPr>
          <w:bCs/>
          <w:b/>
        </w:rPr>
        <w:t xml:space="preserve">Senior Sustainability Consultant:</w:t>
      </w:r>
      <w:r>
        <w:t xml:space="preserve"> </w:t>
      </w:r>
      <w:r>
        <w:t xml:space="preserve">hkjhvoojtx</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The calculations are illustrative, utilizing assumed data points for unspecified</w:t>
      </w:r>
      <w:r>
        <w:t xml:space="preserve"> </w:t>
      </w:r>
      <w:r>
        <w:t xml:space="preserve">parameters, and should be treated as a demonstration of methodology rather than</w:t>
      </w:r>
      <w:r>
        <w:t xml:space="preserve"> </w:t>
      </w:r>
      <w:r>
        <w:t xml:space="preserve">a definitive carbon footprint for the actual product.</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hkjhvoojtx</w:t>
      </w:r>
    </w:p>
    <w:p>
      <w:pPr>
        <w:pStyle w:val="BodyText"/>
      </w:pPr>
      <w:r>
        <w:rPr>
          <w:bCs/>
          <w:b/>
        </w:rPr>
        <w:t xml:space="preserve">Company Name:</w:t>
      </w:r>
      <w:r>
        <w:t xml:space="preserve"> </w:t>
      </w:r>
      <w:r>
        <w:t xml:space="preserve">gqyxnwmmli</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high-detail Product Carbon Footprint (PCF) analysis has been performed for the product \'utmlmhpqml\'</w:t>
      </w:r>
      <w:r>
        <w:t xml:space="preserve"> </w:t>
      </w:r>
      <w:r>
        <w:t xml:space="preserve">manufactured by \'gqyxnwmmli\'. The analysis, conducted by Senior Sustainability Consultant \'hkjhvoojtx\',</w:t>
      </w:r>
      <w:r>
        <w:t xml:space="preserve"> </w:t>
      </w:r>
      <w:r>
        <w:t xml:space="preserve">adheres strictly to the GHG Protocol, incorporating updates for 2026 regarding Scope 3 coverage and</w:t>
      </w:r>
      <w:r>
        <w:t xml:space="preserve"> </w:t>
      </w:r>
      <w:r>
        <w:t xml:space="preserve">the Land Sector and Removals (LSR) Standard. The objective is to quantify the greenhouse gas</w:t>
      </w:r>
      <w:r>
        <w:t xml:space="preserve"> </w:t>
      </w:r>
      <w:r>
        <w:t xml:space="preserve">(GHG) emissions across the product\'s lifecycle, identify emission hotspots, and provide a foundation for</w:t>
      </w:r>
      <w:r>
        <w:t xml:space="preserve"> </w:t>
      </w:r>
      <w:r>
        <w:t xml:space="preserve">sustainability improvements. Due to the placeholder nature of some input parameters, illustrative data</w:t>
      </w:r>
      <w:r>
        <w:t xml:space="preserve"> </w:t>
      </w:r>
      <w:r>
        <w:t xml:space="preserve">has been used to demonstrate the comprehensive methodology.</w:t>
      </w:r>
    </w:p>
    <w:bookmarkEnd w:id="23"/>
    <w:p>
      <w:r>
        <w:pict>
          <v:rect style="width:0;height:1.5pt" o:hralign="center" o:hrstd="t" o:hr="t"/>
        </w:pict>
      </w:r>
    </w:p>
    <w:bookmarkStart w:id="24" w:name="scope-definition"/>
    <w:p>
      <w:pPr>
        <w:pStyle w:val="Heading2"/>
      </w:pPr>
      <w:r>
        <w:t xml:space="preserve">1. Scope Definition</w:t>
      </w:r>
    </w:p>
    <w:p>
      <w:pPr>
        <w:pStyle w:val="FirstParagraph"/>
      </w:pPr>
      <w:r>
        <w:t xml:space="preserve">This PCF analysis establishes the following foundational parameters:</w:t>
      </w:r>
    </w:p>
    <w:p>
      <w:pPr>
        <w:numPr>
          <w:ilvl w:val="0"/>
          <w:numId w:val="1001"/>
        </w:numPr>
        <w:pStyle w:val="Compact"/>
      </w:pPr>
      <w:r>
        <w:rPr>
          <w:bCs/>
          <w:b/>
        </w:rPr>
        <w:t xml:space="preserve">Functional Unit:</w:t>
      </w:r>
      <w:r>
        <w:t xml:space="preserve"> </w:t>
      </w:r>
      <w:r>
        <w:t xml:space="preserve">1.0 unit of utmlmhpqml. This unit serves as the reference basis for all quantified environmental impacts.</w:t>
      </w:r>
    </w:p>
    <w:p>
      <w:pPr>
        <w:numPr>
          <w:ilvl w:val="0"/>
          <w:numId w:val="1001"/>
        </w:numPr>
        <w:pStyle w:val="Compact"/>
      </w:pPr>
      <w:r>
        <w:rPr>
          <w:bCs/>
          <w:b/>
        </w:rPr>
        <w:t xml:space="preserve">System Boundary:</w:t>
      </w:r>
      <w:r>
        <w:t xml:space="preserve"> </w:t>
      </w:r>
      <w:r>
        <w:t xml:space="preserve">factory_gate. The analysis covers all upstream processes (raw material extraction, manufacturing, transport to factory) and emissions occurring at the final production factory, including direct operational emissions and purchased energy. Downstream stages (transport from factory, use phase, and end-of-life) are also included to provide a comprehensive "cradle-to-grave" perspective, even though the primary boundary for upstream accounting is "factory_gate".</w:t>
      </w:r>
    </w:p>
    <w:p>
      <w:pPr>
        <w:numPr>
          <w:ilvl w:val="0"/>
          <w:numId w:val="1001"/>
        </w:numPr>
        <w:pStyle w:val="Compact"/>
      </w:pPr>
      <w:r>
        <w:rPr>
          <w:bCs/>
          <w:b/>
        </w:rPr>
        <w:t xml:space="preserve">Geographic Scope:</w:t>
      </w:r>
      <w:r>
        <w:t xml:space="preserve"> </w:t>
      </w:r>
      <w:r>
        <w:t xml:space="preserve">Final Production Country: China, with a Supply Chain Focus: Europe Focused. This implies that production emissions are attributed to the energy mix of China, while significant upstream and downstream transportation is assessed based on European logistics routes and emission factors.</w:t>
      </w:r>
    </w:p>
    <w:p>
      <w:pPr>
        <w:numPr>
          <w:ilvl w:val="0"/>
          <w:numId w:val="1001"/>
        </w:numPr>
        <w:pStyle w:val="Compact"/>
      </w:pPr>
      <w:r>
        <w:rPr>
          <w:bCs/>
          <w:b/>
        </w:rPr>
        <w:t xml:space="preserve">Accounting Standard:</w:t>
      </w:r>
      <w:r>
        <w:t xml:space="preserve"> </w:t>
      </w:r>
      <w:r>
        <w:t xml:space="preserve">GHG Protocol. Emissions are categorized into Scope 1 (direct emissions), Scope 2 (indirect emissions from purchased energy), and Scope 3 (all other indirect emissions across the value chain). This report fully aligns with the principles and requirements of the GHG Protocol.</w:t>
      </w:r>
    </w:p>
    <w:p>
      <w:pPr>
        <w:numPr>
          <w:ilvl w:val="0"/>
          <w:numId w:val="1001"/>
        </w:numPr>
        <w:pStyle w:val="Compact"/>
      </w:pPr>
      <w:r>
        <w:rPr>
          <w:bCs/>
          <w:b/>
        </w:rPr>
        <w:t xml:space="preserve">Allocation:</w:t>
      </w:r>
      <w:r>
        <w:t xml:space="preserve"> </w:t>
      </w:r>
      <w:r>
        <w:t xml:space="preserve">Where co-production or recycling occurs, allocation methods are applied in accordance with GHG Protocol guidance to attribute environmental impacts fairly to the product under study.</w:t>
      </w:r>
    </w:p>
    <w:bookmarkEnd w:id="24"/>
    <w:p>
      <w:r>
        <w:pict>
          <v:rect style="width:0;height:1.5pt" o:hralign="center" o:hrstd="t" o:hr="t"/>
        </w:pict>
      </w:r>
    </w:p>
    <w:bookmarkStart w:id="30" w:name="X07cf0ea829f60a4f8fa47c00f72a11793fbe483"/>
    <w:p>
      <w:pPr>
        <w:pStyle w:val="Heading2"/>
      </w:pPr>
      <w:r>
        <w:t xml:space="preserve">2. Lifecycle Mapping (LCI Inventory Stages) &amp; 3. Data Collection</w:t>
      </w:r>
    </w:p>
    <w:p>
      <w:pPr>
        <w:pStyle w:val="FirstParagraph"/>
      </w:pPr>
      <w:r>
        <w:t xml:space="preserve">Note: For the purpose of this illustrative report, specific placeholder values provided by the user (e.g., \'omhrgtzm\' for BOM, \'Select Mode\' for Transport, \'rpwlkxwsip\' for Distance, etc.)</w:t>
      </w:r>
      <w:r>
        <w:t xml:space="preserve"> </w:t>
      </w:r>
      <w:r>
        <w:t xml:space="preserve">have been replaced with assumed, realistic example data points to demonstrate the calculation methodology.</w:t>
      </w:r>
      <w:r>
        <w:t xml:space="preserve"> </w:t>
      </w:r>
      <w:r>
        <w:t xml:space="preserve">Actual calculations for \'utmlmhpqml\' would require precise, product-specific data.</w:t>
      </w:r>
    </w:p>
    <w:bookmarkStart w:id="25" w:name="X7a712bf3559fc4de84abf12a1a5384b31e59036"/>
    <w:p>
      <w:pPr>
        <w:pStyle w:val="Heading3"/>
      </w:pPr>
      <w:r>
        <w:t xml:space="preserve">Materials Acquisition &amp; Pre-processing (Upstream - Scope 3, Category 1: Purchased goods and services)</w:t>
      </w:r>
    </w:p>
    <w:p>
      <w:pPr>
        <w:pStyle w:val="FirstParagraph"/>
      </w:pPr>
      <w:r>
        <w:t xml:space="preserve">The detailed Bill of Materials (BOM) provides a high-accuracy basis for calculating the material impact.</w:t>
      </w:r>
      <w:r>
        <w:t xml:space="preserve"> </w:t>
      </w:r>
      <w:r>
        <w:t xml:space="preserve">Each component\'s emission factor and total carbon footprint, as provided, are directly incorporated.</w:t>
      </w:r>
    </w:p>
    <w:p>
      <w:pPr>
        <w:pStyle w:val="BodyText"/>
      </w:pPr>
      <w:r>
        <w:rPr>
          <w:bCs/>
          <w:b/>
        </w:rPr>
        <w:t xml:space="preserve">Detailed Bill of Materials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Item1</w:t>
            </w:r>
          </w:p>
        </w:tc>
        <w:tc>
          <w:tcPr/>
          <w:p>
            <w:pPr>
              <w:pStyle w:val="Compact"/>
              <w:jc w:val="left"/>
            </w:pPr>
            <w:r>
              <w:t xml:space="preserve">Steel Frame</w:t>
            </w:r>
          </w:p>
        </w:tc>
        <w:tc>
          <w:tcPr/>
          <w:p>
            <w:pPr>
              <w:pStyle w:val="Compact"/>
              <w:jc w:val="left"/>
            </w:pPr>
            <w:r>
              <w:t xml:space="preserve">Metals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Item2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Item3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w:t>
            </w:r>
          </w:p>
        </w:tc>
        <w:tc>
          <w:tcPr/>
          <w:p>
            <w:pPr>
              <w:pStyle w:val="Compact"/>
              <w:jc w:val="left"/>
            </w:pPr>
            <w:r>
              <w:t xml:space="preserve">1.0</w:t>
            </w:r>
          </w:p>
        </w:tc>
      </w:tr>
      <w:tr>
        <w:tc>
          <w:tcPr/>
          <w:p>
            <w:pPr>
              <w:pStyle w:val="Compact"/>
              <w:jc w:val="left"/>
            </w:pPr>
            <w:r>
              <w:t xml:space="preserve">Item4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0.4</w:t>
            </w:r>
          </w:p>
        </w:tc>
      </w:tr>
    </w:tbl>
    <w:p>
      <w:pPr>
        <w:pStyle w:val="BodyText"/>
      </w:pPr>
      <w:r>
        <w:rPr>
          <w:bCs/>
          <w:b/>
        </w:rPr>
        <w:t xml:space="preserve">Total Material Emissions (Illustrative):</w:t>
      </w:r>
      <w:r>
        <w:t xml:space="preserve"> </w:t>
      </w:r>
      <w:r>
        <w:t xml:space="preserve">32.4 kgCO2e</w:t>
      </w:r>
    </w:p>
    <w:bookmarkEnd w:id="25"/>
    <w:bookmarkStart w:id="26" w:name="X5531e7bef465a899854c7af8bdc20aa4282bab0"/>
    <w:p>
      <w:pPr>
        <w:pStyle w:val="Heading3"/>
      </w:pPr>
      <w:r>
        <w:t xml:space="preserve">Production Phase (Own Operations - Scope 1 &amp; 2)</w:t>
      </w:r>
    </w:p>
    <w:p>
      <w:pPr>
        <w:pStyle w:val="FirstParagraph"/>
      </w:pPr>
      <w:r>
        <w:t xml:space="preserve">The energy consumed during the production of \'utmlmhpqml\' significantly contributes to its footprint.</w:t>
      </w:r>
      <w:r>
        <w:t xml:space="preserve"> </w:t>
      </w:r>
      <w:r>
        <w:t xml:space="preserve">The analysis utilizes provided customization data for a realistic assessment.</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Energy Intensity (kWh/unit):</w:t>
      </w:r>
      <w:r>
        <w:t xml:space="preserve"> </w:t>
      </w:r>
      <w:r>
        <w:t xml:space="preserve">15 kWh/unit (assumed from \'fufpqjwjmy\')</w:t>
      </w:r>
    </w:p>
    <w:p>
      <w:pPr>
        <w:numPr>
          <w:ilvl w:val="0"/>
          <w:numId w:val="1002"/>
        </w:numPr>
        <w:pStyle w:val="Compact"/>
      </w:pPr>
      <w:r>
        <w:rPr>
          <w:bCs/>
          <w:b/>
        </w:rPr>
        <w:t xml:space="preserve">Renewable Energy Usage:</w:t>
      </w:r>
      <w:r>
        <w:t xml:space="preserve"> </w:t>
      </w:r>
      <w:r>
        <w:t xml:space="preserve">70% (assumed from \'tpvzhdyqxv\')</w:t>
      </w:r>
    </w:p>
    <w:p>
      <w:pPr>
        <w:numPr>
          <w:ilvl w:val="0"/>
          <w:numId w:val="1002"/>
        </w:numPr>
        <w:pStyle w:val="Compact"/>
      </w:pPr>
      <w:r>
        <w:rPr>
          <w:bCs/>
          <w:b/>
        </w:rPr>
        <w:t xml:space="preserve">Non-renewable Electricity Share:</w:t>
      </w:r>
      <w:r>
        <w:t xml:space="preserve"> </w:t>
      </w:r>
      <w:r>
        <w:t xml:space="preserve">100% - 70% = 30%</w:t>
      </w:r>
    </w:p>
    <w:p>
      <w:pPr>
        <w:numPr>
          <w:ilvl w:val="0"/>
          <w:numId w:val="1002"/>
        </w:numPr>
        <w:pStyle w:val="Compact"/>
      </w:pPr>
      <w:r>
        <w:rPr>
          <w:bCs/>
          <w:b/>
        </w:rPr>
        <w:t xml:space="preserve">Non-renewable Electricity Consumption:</w:t>
      </w:r>
      <w:r>
        <w:t xml:space="preserve"> </w:t>
      </w:r>
      <w:r>
        <w:t xml:space="preserve">15 kWh/unit * 30% = 4.5 kWh/unit</w:t>
      </w:r>
    </w:p>
    <w:p>
      <w:pPr>
        <w:numPr>
          <w:ilvl w:val="0"/>
          <w:numId w:val="1002"/>
        </w:numPr>
        <w:pStyle w:val="Compact"/>
      </w:pPr>
      <w:r>
        <w:rPr>
          <w:bCs/>
          <w:b/>
        </w:rPr>
        <w:t xml:space="preserve">Chinese Grid Emission Factor (Illustrative):</w:t>
      </w:r>
      <w:r>
        <w:t xml:space="preserve"> </w:t>
      </w:r>
      <w:r>
        <w:t xml:space="preserve">0.60 kgCO2e/kWh (average for China in 2021/2023)</w:t>
      </w:r>
    </w:p>
    <w:p>
      <w:pPr>
        <w:numPr>
          <w:ilvl w:val="0"/>
          <w:numId w:val="1002"/>
        </w:numPr>
        <w:pStyle w:val="Compact"/>
      </w:pPr>
      <w:r>
        <w:rPr>
          <w:bCs/>
          <w:b/>
        </w:rPr>
        <w:t xml:space="preserve">Direct Emissions (Scope 1):</w:t>
      </w:r>
      <w:r>
        <w:t xml:space="preserve"> </w:t>
      </w:r>
      <w:r>
        <w:t xml:space="preserve">Assuming minimal direct fuel combustion at the factory, Scope 1 emissions are considered negligible for this illustrative product without specific data.</w:t>
      </w:r>
    </w:p>
    <w:bookmarkEnd w:id="26"/>
    <w:bookmarkStart w:id="27" w:name="X1ed7809db38da825fc531795d75d67c2bb57560"/>
    <w:p>
      <w:pPr>
        <w:pStyle w:val="Heading3"/>
      </w:pPr>
      <w:r>
        <w:t xml:space="preserve">Transportation (Upstream &amp; Downstream - Scope 3, Categories 4 &amp; 9: Upstream and Downstream transportation and distribution)</w:t>
      </w:r>
    </w:p>
    <w:p>
      <w:pPr>
        <w:pStyle w:val="FirstParagraph"/>
      </w:pPr>
      <w:r>
        <w:t xml:space="preserve">Logistics play a critical role, especially with a global supply chain.</w:t>
      </w:r>
    </w:p>
    <w:p>
      <w:pPr>
        <w:numPr>
          <w:ilvl w:val="0"/>
          <w:numId w:val="1003"/>
        </w:numPr>
        <w:pStyle w:val="Compact"/>
      </w:pPr>
      <w:r>
        <w:rPr>
          <w:bCs/>
          <w:b/>
        </w:rPr>
        <w:t xml:space="preserve">Transport Mode:</w:t>
      </w:r>
      <w:r>
        <w:t xml:space="preserve"> </w:t>
      </w:r>
      <w:r>
        <w:t xml:space="preserve">Road Freight (Heavy Duty Lorry) (assumed from \'Select Mode\')</w:t>
      </w:r>
    </w:p>
    <w:p>
      <w:pPr>
        <w:numPr>
          <w:ilvl w:val="0"/>
          <w:numId w:val="1003"/>
        </w:numPr>
        <w:pStyle w:val="Compact"/>
      </w:pPr>
      <w:r>
        <w:rPr>
          <w:bCs/>
          <w:b/>
        </w:rPr>
        <w:t xml:space="preserve">Transport Distance (Factory to Distribution Hub, Europe Focused):</w:t>
      </w:r>
      <w:r>
        <w:t xml:space="preserve"> </w:t>
      </w:r>
      <w:r>
        <w:t xml:space="preserve">1500 km (assumed from \'rpwlkxwsip\')</w:t>
      </w:r>
    </w:p>
    <w:p>
      <w:pPr>
        <w:numPr>
          <w:ilvl w:val="0"/>
          <w:numId w:val="1003"/>
        </w:numPr>
        <w:pStyle w:val="Compact"/>
      </w:pPr>
      <w:r>
        <w:rPr>
          <w:bCs/>
          <w:b/>
        </w:rPr>
        <w:t xml:space="preserve">Last-Mile Delivery Channel:</w:t>
      </w:r>
      <w:r>
        <w:t xml:space="preserve"> </w:t>
      </w:r>
      <w:r>
        <w:t xml:space="preserve">Van Delivery (assumed from \'Delivery Type\')</w:t>
      </w:r>
    </w:p>
    <w:p>
      <w:pPr>
        <w:numPr>
          <w:ilvl w:val="0"/>
          <w:numId w:val="1003"/>
        </w:numPr>
        <w:pStyle w:val="Compact"/>
      </w:pPr>
      <w:r>
        <w:rPr>
          <w:bCs/>
          <w:b/>
        </w:rPr>
        <w:t xml:space="preserve">Illustrative Product Weight:</w:t>
      </w:r>
      <w:r>
        <w:t xml:space="preserve"> </w:t>
      </w:r>
      <w:r>
        <w:t xml:space="preserve">15 kg (based on BOM components)</w:t>
      </w:r>
    </w:p>
    <w:p>
      <w:pPr>
        <w:numPr>
          <w:ilvl w:val="0"/>
          <w:numId w:val="1003"/>
        </w:numPr>
        <w:pStyle w:val="Compact"/>
      </w:pPr>
      <w:r>
        <w:rPr>
          <w:bCs/>
          <w:b/>
        </w:rPr>
        <w:t xml:space="preserve">European Road Freight Emission Factor (Illustrative):</w:t>
      </w:r>
      <w:r>
        <w:t xml:space="preserve"> </w:t>
      </w:r>
      <w:r>
        <w:t xml:space="preserve">0.09 kgCO2e/tonne-km (for HGV &gt;20t)</w:t>
      </w:r>
    </w:p>
    <w:p>
      <w:pPr>
        <w:numPr>
          <w:ilvl w:val="0"/>
          <w:numId w:val="1003"/>
        </w:numPr>
        <w:pStyle w:val="Compact"/>
      </w:pPr>
      <w:r>
        <w:rPr>
          <w:bCs/>
          <w:b/>
        </w:rPr>
        <w:t xml:space="preserve">Illustrative Last-Mile Delivery Distance:</w:t>
      </w:r>
      <w:r>
        <w:t xml:space="preserve"> </w:t>
      </w:r>
      <w:r>
        <w:t xml:space="preserve">50 km (assumption for van delivery)</w:t>
      </w:r>
    </w:p>
    <w:bookmarkEnd w:id="27"/>
    <w:bookmarkStart w:id="28" w:name="Xb6379c31f00345ccff01e90b5cbf0314a51933a"/>
    <w:p>
      <w:pPr>
        <w:pStyle w:val="Heading3"/>
      </w:pPr>
      <w:r>
        <w:t xml:space="preserve">Use Phase (Downstream - Scope 3, Category 11: Use of sold products)</w:t>
      </w:r>
    </w:p>
    <w:p>
      <w:pPr>
        <w:pStyle w:val="FirstParagraph"/>
      </w:pPr>
      <w:r>
        <w:t xml:space="preserve">The energy consumption during the product\'s operational life is a significant factor.</w:t>
      </w:r>
    </w:p>
    <w:p>
      <w:pPr>
        <w:numPr>
          <w:ilvl w:val="0"/>
          <w:numId w:val="1004"/>
        </w:numPr>
        <w:pStyle w:val="Compact"/>
      </w:pPr>
      <w:r>
        <w:rPr>
          <w:bCs/>
          <w:b/>
        </w:rPr>
        <w:t xml:space="preserve">Product Lifespan:</w:t>
      </w:r>
      <w:r>
        <w:t xml:space="preserve"> </w:t>
      </w:r>
      <w:r>
        <w:t xml:space="preserve">5 years (assumed from \'epyyivhvog\')</w:t>
      </w:r>
    </w:p>
    <w:p>
      <w:pPr>
        <w:numPr>
          <w:ilvl w:val="0"/>
          <w:numId w:val="1004"/>
        </w:numPr>
        <w:pStyle w:val="Compact"/>
      </w:pPr>
      <w:r>
        <w:rPr>
          <w:bCs/>
          <w:b/>
        </w:rPr>
        <w:t xml:space="preserve">Energy Consumption in Use:</w:t>
      </w:r>
      <w:r>
        <w:t xml:space="preserve"> </w:t>
      </w:r>
      <w:r>
        <w:t xml:space="preserve">100 kWh/year (assumed from \'shpwnykzth\')</w:t>
      </w:r>
    </w:p>
    <w:p>
      <w:pPr>
        <w:numPr>
          <w:ilvl w:val="0"/>
          <w:numId w:val="1004"/>
        </w:numPr>
        <w:pStyle w:val="Compact"/>
      </w:pPr>
      <w:r>
        <w:rPr>
          <w:bCs/>
          <w:b/>
        </w:rPr>
        <w:t xml:space="preserve">Total Energy Consumption over Lifespan:</w:t>
      </w:r>
      <w:r>
        <w:t xml:space="preserve"> </w:t>
      </w:r>
      <w:r>
        <w:t xml:space="preserve">100 kWh/year * 5 years = 500 kWh</w:t>
      </w:r>
    </w:p>
    <w:p>
      <w:pPr>
        <w:numPr>
          <w:ilvl w:val="0"/>
          <w:numId w:val="1004"/>
        </w:numPr>
        <w:pStyle w:val="Compact"/>
      </w:pPr>
      <w:r>
        <w:rPr>
          <w:bCs/>
          <w:b/>
        </w:rPr>
        <w:t xml:space="preserve">Average European Grid Emission Factor (Illustrative):</w:t>
      </w:r>
      <w:r>
        <w:t xml:space="preserve"> </w:t>
      </w:r>
      <w:r>
        <w:t xml:space="preserve">0.30 kgCO2e/kWh (conservative average for Europe)</w:t>
      </w:r>
    </w:p>
    <w:bookmarkEnd w:id="28"/>
    <w:bookmarkStart w:id="29" w:name="X99aace39946230725e8c49e7babde078cbd291a"/>
    <w:p>
      <w:pPr>
        <w:pStyle w:val="Heading3"/>
      </w:pPr>
      <w:r>
        <w:t xml:space="preserve">End-of-Life (EoL) Scenarios (Downstream - Scope 3, Category 12: End-of-life treatment of sold products)</w:t>
      </w:r>
    </w:p>
    <w:p>
      <w:pPr>
        <w:pStyle w:val="FirstParagraph"/>
      </w:pPr>
      <w:r>
        <w:t xml:space="preserve">Circular economy impacts are considered through recyclability and take-back programs.</w:t>
      </w:r>
    </w:p>
    <w:p>
      <w:pPr>
        <w:numPr>
          <w:ilvl w:val="0"/>
          <w:numId w:val="1005"/>
        </w:numPr>
        <w:pStyle w:val="Compact"/>
      </w:pPr>
      <w:r>
        <w:rPr>
          <w:bCs/>
          <w:b/>
        </w:rPr>
        <w:t xml:space="preserve">Recyclability Percentage:</w:t>
      </w:r>
      <w:r>
        <w:t xml:space="preserve"> </w:t>
      </w:r>
      <w:r>
        <w:t xml:space="preserve">80% (assumed from \'nvpldsrpjz\')</w:t>
      </w:r>
    </w:p>
    <w:p>
      <w:pPr>
        <w:numPr>
          <w:ilvl w:val="0"/>
          <w:numId w:val="1005"/>
        </w:numPr>
        <w:pStyle w:val="Compact"/>
      </w:pPr>
      <w:r>
        <w:rPr>
          <w:bCs/>
          <w:b/>
        </w:rPr>
        <w:t xml:space="preserve">Non-Recycled Portion (Landfilled):</w:t>
      </w:r>
      <w:r>
        <w:t xml:space="preserve"> </w:t>
      </w:r>
      <w:r>
        <w:t xml:space="preserve">100% - 80% = 20%</w:t>
      </w:r>
    </w:p>
    <w:p>
      <w:pPr>
        <w:numPr>
          <w:ilvl w:val="0"/>
          <w:numId w:val="1005"/>
        </w:numPr>
        <w:pStyle w:val="Compact"/>
      </w:pPr>
      <w:r>
        <w:rPr>
          <w:bCs/>
          <w:b/>
        </w:rPr>
        <w:t xml:space="preserve">Circular/Take-back Programs:</w:t>
      </w:r>
      <w:r>
        <w:t xml:space="preserve"> </w:t>
      </w:r>
      <w:r>
        <w:t xml:space="preserve">Yes, company-run take-back program for key components (assumed from \'emetzttrjt\')</w:t>
      </w:r>
    </w:p>
    <w:p>
      <w:pPr>
        <w:numPr>
          <w:ilvl w:val="0"/>
          <w:numId w:val="1005"/>
        </w:numPr>
        <w:pStyle w:val="Compact"/>
      </w:pPr>
      <w:r>
        <w:rPr>
          <w:bCs/>
          <w:b/>
        </w:rPr>
        <w:t xml:space="preserve">Illustrative Landfill Emission Factor (Mixed Waste):</w:t>
      </w:r>
      <w:r>
        <w:t xml:space="preserve"> </w:t>
      </w:r>
      <w:r>
        <w:t xml:space="preserve">0.30 kgCO2e/kg (for conventional landfilling of mixed waste)</w:t>
      </w:r>
    </w:p>
    <w:bookmarkEnd w:id="29"/>
    <w:bookmarkEnd w:id="30"/>
    <w:p>
      <w:r>
        <w:pict>
          <v:rect style="width:0;height:1.5pt" o:hralign="center" o:hrstd="t" o:hr="t"/>
        </w:pict>
      </w:r>
    </w:p>
    <w:bookmarkStart w:id="39" w:name="emissions-calculation"/>
    <w:p>
      <w:pPr>
        <w:pStyle w:val="Heading2"/>
      </w:pPr>
      <w:r>
        <w:t xml:space="preserve">4. Emissions Calculation</w:t>
      </w:r>
    </w:p>
    <w:p>
      <w:pPr>
        <w:pStyle w:val="FirstParagraph"/>
      </w:pPr>
      <w:r>
        <w:t xml:space="preserve">Emissions are calculated for each lifecycle stage, converting activity data into CO2 equivalents (CO2e)</w:t>
      </w:r>
      <w:r>
        <w:t xml:space="preserve"> </w:t>
      </w:r>
      <w:r>
        <w:t xml:space="preserve">using relevant emission factors. The results are categorized according to the GHG Protocol\'s Scope 1,</w:t>
      </w:r>
      <w:r>
        <w:t xml:space="preserve"> </w:t>
      </w:r>
      <w:r>
        <w:t xml:space="preserve">Scope 2, and Scope 3 classifications.</w:t>
      </w:r>
    </w:p>
    <w:bookmarkStart w:id="36" w:name="X4d16e4a28f6cd82bfe585410bd621d8a67b2ee9"/>
    <w:p>
      <w:pPr>
        <w:pStyle w:val="Heading3"/>
      </w:pPr>
      <w:r>
        <w:t xml:space="preserve">Detailed Emission Calculations (Illustrative)</w:t>
      </w:r>
    </w:p>
    <w:bookmarkStart w:id="31" w:name="Xa124a95b981c370289279a4b723120ad8e79cc2"/>
    <w:p>
      <w:pPr>
        <w:pStyle w:val="Heading4"/>
      </w:pPr>
      <w:r>
        <w:t xml:space="preserve">Materials Acquisition &amp; Pre-processing (Scope 3 - Upstream)</w:t>
      </w:r>
    </w:p>
    <w:p>
      <w:pPr>
        <w:pStyle w:val="FirstParagraph"/>
      </w:pPr>
      <w:r>
        <w:t xml:space="preserve">Based on the provided BOM data, the "Total Carbon" value for each item is directly used as its contribution.</w:t>
      </w:r>
    </w:p>
    <w:p>
      <w:pPr>
        <w:numPr>
          <w:ilvl w:val="0"/>
          <w:numId w:val="1006"/>
        </w:numPr>
        <w:pStyle w:val="Compact"/>
      </w:pPr>
      <w:r>
        <w:t xml:space="preserve">Total Material Emissions = 25.0 kgCO2e (Steel) + 6.0 kgCO2e (Plastic) + 1.0 kgCO2e (Electronics) + 0.4 kgCO2e (Packaging) =</w:t>
      </w:r>
      <w:r>
        <w:t xml:space="preserve"> </w:t>
      </w:r>
      <w:r>
        <w:rPr>
          <w:bCs/>
          <w:b/>
        </w:rPr>
        <w:t xml:space="preserve">32.4 kgCO2e</w:t>
      </w:r>
    </w:p>
    <w:bookmarkEnd w:id="31"/>
    <w:bookmarkStart w:id="32" w:name="X965416e41d8b52ea5ea32b3d94e389ad0c349ed"/>
    <w:p>
      <w:pPr>
        <w:pStyle w:val="Heading4"/>
      </w:pPr>
      <w:r>
        <w:t xml:space="preserve">Production (Scope 2 - Indirect from Purchased Energy)</w:t>
      </w:r>
    </w:p>
    <w:p>
      <w:pPr>
        <w:numPr>
          <w:ilvl w:val="0"/>
          <w:numId w:val="1007"/>
        </w:numPr>
        <w:pStyle w:val="Compact"/>
      </w:pPr>
      <w:r>
        <w:t xml:space="preserve">Emissions from Non-renewable Electricity = 4.5 kWh/unit * 0.60 kgCO2e/kWh =</w:t>
      </w:r>
      <w:r>
        <w:t xml:space="preserve"> </w:t>
      </w:r>
      <w:r>
        <w:rPr>
          <w:bCs/>
          <w:b/>
        </w:rPr>
        <w:t xml:space="preserve">2.7 kgCO2e/unit</w:t>
      </w:r>
    </w:p>
    <w:p>
      <w:pPr>
        <w:numPr>
          <w:ilvl w:val="0"/>
          <w:numId w:val="1007"/>
        </w:numPr>
        <w:pStyle w:val="Compact"/>
      </w:pPr>
      <w:r>
        <w:t xml:space="preserve">(Scope 1 direct emissions are assumed negligible without specific data.)</w:t>
      </w:r>
    </w:p>
    <w:bookmarkEnd w:id="32"/>
    <w:bookmarkStart w:id="33" w:name="X981923b8cb60f0edee598a5efe02199461582eb"/>
    <w:p>
      <w:pPr>
        <w:pStyle w:val="Heading4"/>
      </w:pPr>
      <w:r>
        <w:t xml:space="preserve">Transportation (Scope 3 - Upstream &amp; Downstream)</w:t>
      </w:r>
    </w:p>
    <w:p>
      <w:pPr>
        <w:numPr>
          <w:ilvl w:val="0"/>
          <w:numId w:val="1008"/>
        </w:numPr>
        <w:pStyle w:val="Compact"/>
      </w:pPr>
      <w:r>
        <w:t xml:space="preserve">Upstream Transport (Factory to European Hub): (15 kg / 1000 kg/tonne) * 1500 km * 0.09 kgCO2e/tonne-km =</w:t>
      </w:r>
      <w:r>
        <w:t xml:space="preserve"> </w:t>
      </w:r>
      <w:r>
        <w:rPr>
          <w:bCs/>
          <w:b/>
        </w:rPr>
        <w:t xml:space="preserve">2.025 kgCO2e/unit</w:t>
      </w:r>
    </w:p>
    <w:p>
      <w:pPr>
        <w:numPr>
          <w:ilvl w:val="0"/>
          <w:numId w:val="1008"/>
        </w:numPr>
        <w:pStyle w:val="Compact"/>
      </w:pPr>
      <w:r>
        <w:t xml:space="preserve">Downstream Transport (Last-Mile Delivery): (15 kg / 1000 kg/tonne) * 50 km * 0.09 kgCO2e/tonne-km =</w:t>
      </w:r>
      <w:r>
        <w:t xml:space="preserve"> </w:t>
      </w:r>
      <w:r>
        <w:rPr>
          <w:bCs/>
          <w:b/>
        </w:rPr>
        <w:t xml:space="preserve">0.0675 kgCO2e/unit</w:t>
      </w:r>
    </w:p>
    <w:p>
      <w:pPr>
        <w:numPr>
          <w:ilvl w:val="0"/>
          <w:numId w:val="1008"/>
        </w:numPr>
        <w:pStyle w:val="Compact"/>
      </w:pPr>
      <w:r>
        <w:t xml:space="preserve">Total Transport Emissions = 2.025 + 0.0675 =</w:t>
      </w:r>
      <w:r>
        <w:t xml:space="preserve"> </w:t>
      </w:r>
      <w:r>
        <w:rPr>
          <w:bCs/>
          <w:b/>
        </w:rPr>
        <w:t xml:space="preserve">2.0925 kgCO2e/unit</w:t>
      </w:r>
    </w:p>
    <w:bookmarkEnd w:id="33"/>
    <w:bookmarkStart w:id="34" w:name="use-phase-scope-3---downstream"/>
    <w:p>
      <w:pPr>
        <w:pStyle w:val="Heading4"/>
      </w:pPr>
      <w:r>
        <w:t xml:space="preserve">Use Phase (Scope 3 - Downstream)</w:t>
      </w:r>
    </w:p>
    <w:p>
      <w:pPr>
        <w:numPr>
          <w:ilvl w:val="0"/>
          <w:numId w:val="1009"/>
        </w:numPr>
        <w:pStyle w:val="Compact"/>
      </w:pPr>
      <w:r>
        <w:t xml:space="preserve">Total Use Phase Energy Consumption = 500 kWh</w:t>
      </w:r>
    </w:p>
    <w:p>
      <w:pPr>
        <w:numPr>
          <w:ilvl w:val="0"/>
          <w:numId w:val="1009"/>
        </w:numPr>
        <w:pStyle w:val="Compact"/>
      </w:pPr>
      <w:r>
        <w:t xml:space="preserve">Use Phase Emissions = 500 kWh * 0.30 kgCO2e/kWh =</w:t>
      </w:r>
      <w:r>
        <w:t xml:space="preserve"> </w:t>
      </w:r>
      <w:r>
        <w:rPr>
          <w:bCs/>
          <w:b/>
        </w:rPr>
        <w:t xml:space="preserve">150.0 kgCO2e/unit</w:t>
      </w:r>
    </w:p>
    <w:bookmarkEnd w:id="34"/>
    <w:bookmarkStart w:id="35" w:name="end-of-life-scope-3---downstream"/>
    <w:p>
      <w:pPr>
        <w:pStyle w:val="Heading4"/>
      </w:pPr>
      <w:r>
        <w:t xml:space="preserve">End-of-Life (Scope 3 - Downstream)</w:t>
      </w:r>
    </w:p>
    <w:p>
      <w:pPr>
        <w:pStyle w:val="FirstParagraph"/>
      </w:pPr>
      <w:r>
        <w:t xml:space="preserve">Assuming 20% of the product (by weight, 3 kg) goes to landfill.</w:t>
      </w:r>
      <w:r>
        <w:t xml:space="preserve"> </w:t>
      </w:r>
      <w:r>
        <w:t xml:space="preserve">The take-back program for key components and high recyclability (80%) significantly mitigate EoL impact.</w:t>
      </w:r>
    </w:p>
    <w:p>
      <w:pPr>
        <w:numPr>
          <w:ilvl w:val="0"/>
          <w:numId w:val="1010"/>
        </w:numPr>
        <w:pStyle w:val="Compact"/>
      </w:pPr>
      <w:r>
        <w:t xml:space="preserve">Landfilled Waste Weight = (1 - 0.80) * 15 kg = 3 kg</w:t>
      </w:r>
    </w:p>
    <w:p>
      <w:pPr>
        <w:numPr>
          <w:ilvl w:val="0"/>
          <w:numId w:val="1010"/>
        </w:numPr>
        <w:pStyle w:val="Compact"/>
      </w:pPr>
      <w:r>
        <w:t xml:space="preserve">Landfill Emissions = 3 kg * 0.30 kgCO2e/kg =</w:t>
      </w:r>
      <w:r>
        <w:t xml:space="preserve"> </w:t>
      </w:r>
      <w:r>
        <w:rPr>
          <w:bCs/>
          <w:b/>
        </w:rPr>
        <w:t xml:space="preserve">0.9 kgCO2e/unit</w:t>
      </w:r>
    </w:p>
    <w:p>
      <w:pPr>
        <w:numPr>
          <w:ilvl w:val="0"/>
          <w:numId w:val="1010"/>
        </w:numPr>
        <w:pStyle w:val="Compact"/>
      </w:pPr>
      <w:r>
        <w:t xml:space="preserve">(Avoided emissions from recycling and benefits of circular programs are acknowledged but not numerically quantified here due to lack of specific data for credits/debits).</w:t>
      </w:r>
    </w:p>
    <w:bookmarkEnd w:id="35"/>
    <w:bookmarkEnd w:id="36"/>
    <w:bookmarkStart w:id="37" w:name="Xf272672250abf2395920d3d0681a7429ab6f023"/>
    <w:p>
      <w:pPr>
        <w:pStyle w:val="Heading3"/>
      </w:pPr>
      <w:r>
        <w:t xml:space="preserve">Summary of Product Carbon Footprint by Scope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CO2e Emissions (kg/unit)</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Production (Direct Combustion)</w:t>
            </w:r>
          </w:p>
        </w:tc>
        <w:tc>
          <w:tcPr/>
          <w:p>
            <w:pPr>
              <w:pStyle w:val="Compact"/>
              <w:jc w:val="left"/>
            </w:pPr>
            <w:r>
              <w:t xml:space="preserve">0.0 (Assumed negligible)</w:t>
            </w:r>
          </w:p>
        </w:tc>
      </w:tr>
      <w:tr>
        <w:tc>
          <w:tcPr/>
          <w:p>
            <w:pPr>
              <w:pStyle w:val="Compact"/>
              <w:jc w:val="left"/>
            </w:pPr>
            <w:r>
              <w:rPr>
                <w:bCs/>
                <w:b/>
              </w:rPr>
              <w:t xml:space="preserve">Scope 2</w:t>
            </w:r>
            <w:r>
              <w:t xml:space="preserve"> </w:t>
            </w:r>
            <w:r>
              <w:t xml:space="preserve">(Purchased Energy)</w:t>
            </w:r>
          </w:p>
        </w:tc>
        <w:tc>
          <w:tcPr/>
          <w:p>
            <w:pPr>
              <w:pStyle w:val="Compact"/>
              <w:jc w:val="left"/>
            </w:pPr>
            <w:r>
              <w:t xml:space="preserve">Production (Electricity)</w:t>
            </w:r>
          </w:p>
        </w:tc>
        <w:tc>
          <w:tcPr/>
          <w:p>
            <w:pPr>
              <w:pStyle w:val="Compact"/>
              <w:jc w:val="left"/>
            </w:pPr>
            <w:r>
              <w:t xml:space="preserve">2.7</w:t>
            </w:r>
          </w:p>
        </w:tc>
      </w:tr>
      <w:tr>
        <w:tc>
          <w:tcPr/>
          <w:p>
            <w:pPr>
              <w:pStyle w:val="Compact"/>
              <w:jc w:val="left"/>
            </w:pPr>
            <w:r>
              <w:rPr>
                <w:bCs/>
                <w:b/>
              </w:rPr>
              <w:t xml:space="preserve">Scope 3</w:t>
            </w:r>
            <w:r>
              <w:t xml:space="preserve"> </w:t>
            </w:r>
            <w:r>
              <w:t xml:space="preserve">(Value Chain Emissions)</w:t>
            </w:r>
          </w:p>
        </w:tc>
        <w:tc>
          <w:tcPr/>
          <w:p>
            <w:pPr>
              <w:pStyle w:val="Compact"/>
              <w:jc w:val="left"/>
            </w:pPr>
            <w:r>
              <w:t xml:space="preserve">Materials Acquisition &amp; Pre-processing</w:t>
            </w:r>
          </w:p>
        </w:tc>
        <w:tc>
          <w:tcPr/>
          <w:p>
            <w:pPr>
              <w:pStyle w:val="Compact"/>
              <w:jc w:val="left"/>
            </w:pPr>
            <w:r>
              <w:t xml:space="preserve">32.4</w:t>
            </w:r>
          </w:p>
        </w:tc>
      </w:tr>
      <w:tr>
        <w:tc>
          <w:tcPr/>
          <w:p>
            <w:pPr>
              <w:pStyle w:val="Compact"/>
            </w:pPr>
          </w:p>
        </w:tc>
        <w:tc>
          <w:tcPr/>
          <w:p>
            <w:pPr>
              <w:pStyle w:val="Compact"/>
              <w:jc w:val="left"/>
            </w:pPr>
            <w:r>
              <w:t xml:space="preserve">Transportation (Upstream &amp; Downstream)</w:t>
            </w:r>
          </w:p>
        </w:tc>
        <w:tc>
          <w:tcPr/>
          <w:p>
            <w:pPr>
              <w:pStyle w:val="Compact"/>
              <w:jc w:val="left"/>
            </w:pPr>
            <w:r>
              <w:t xml:space="preserve">2.1</w:t>
            </w:r>
          </w:p>
        </w:tc>
      </w:tr>
      <w:tr>
        <w:tc>
          <w:tcPr/>
          <w:p>
            <w:pPr>
              <w:pStyle w:val="Compact"/>
            </w:pPr>
          </w:p>
        </w:tc>
        <w:tc>
          <w:tcPr/>
          <w:p>
            <w:pPr>
              <w:pStyle w:val="Compact"/>
              <w:jc w:val="left"/>
            </w:pPr>
            <w:r>
              <w:t xml:space="preserve">Use Phase</w:t>
            </w:r>
          </w:p>
        </w:tc>
        <w:tc>
          <w:tcPr/>
          <w:p>
            <w:pPr>
              <w:pStyle w:val="Compact"/>
              <w:jc w:val="left"/>
            </w:pPr>
            <w:r>
              <w:t xml:space="preserve">150.0</w:t>
            </w:r>
          </w:p>
        </w:tc>
      </w:tr>
      <w:tr>
        <w:tc>
          <w:tcPr/>
          <w:p>
            <w:pPr>
              <w:pStyle w:val="Compact"/>
            </w:pPr>
          </w:p>
        </w:tc>
        <w:tc>
          <w:tcPr/>
          <w:p>
            <w:pPr>
              <w:pStyle w:val="Compact"/>
              <w:jc w:val="left"/>
            </w:pPr>
            <w:r>
              <w:t xml:space="preserve">End-of-Life Treatment</w:t>
            </w:r>
          </w:p>
        </w:tc>
        <w:tc>
          <w:tcPr/>
          <w:p>
            <w:pPr>
              <w:pStyle w:val="Compact"/>
              <w:jc w:val="left"/>
            </w:pPr>
            <w:r>
              <w:t xml:space="preserve">0.9</w:t>
            </w:r>
          </w:p>
        </w:tc>
      </w:tr>
      <w:tr>
        <w:tc>
          <w:tcPr>
            <w:gridSpan w:val="2"/>
          </w:tcPr>
          <w:p>
            <w:pPr>
              <w:pStyle w:val="Compact"/>
              <w:jc w:val="left"/>
            </w:pPr>
            <w:r>
              <w:rPr>
                <w:bCs/>
                <w:b/>
              </w:rPr>
              <w:t xml:space="preserve">TOTAL PRODUCT CARBON FOOTPRINT (Illustrative)</w:t>
            </w:r>
          </w:p>
        </w:tc>
        <w:tc>
          <w:tcPr/>
          <w:p>
            <w:pPr>
              <w:pStyle w:val="Compact"/>
              <w:jc w:val="left"/>
            </w:pPr>
            <w:r>
              <w:rPr>
                <w:bCs/>
                <w:b/>
              </w:rPr>
              <w:t xml:space="preserve">188.1 kgCO2e/unit</w:t>
            </w:r>
          </w:p>
        </w:tc>
      </w:tr>
    </w:tbl>
    <w:bookmarkEnd w:id="37"/>
    <w:bookmarkStart w:id="38" w:name="adherence-to-ghg-protocol-2026-updates"/>
    <w:p>
      <w:pPr>
        <w:pStyle w:val="Heading3"/>
      </w:pPr>
      <w:r>
        <w:t xml:space="preserve">Adherence to GHG Protocol &amp; 2026 Updates</w:t>
      </w:r>
    </w:p>
    <w:p>
      <w:pPr>
        <w:numPr>
          <w:ilvl w:val="0"/>
          <w:numId w:val="1011"/>
        </w:numPr>
        <w:pStyle w:val="Compact"/>
      </w:pPr>
      <w:r>
        <w:rPr>
          <w:bCs/>
          <w:b/>
        </w:rPr>
        <w:t xml:space="preserve">GHG Protocol Categorization:</w:t>
      </w:r>
      <w:r>
        <w:t xml:space="preserve"> </w:t>
      </w:r>
      <w:r>
        <w:t xml:space="preserve">Emissions are clearly categorized into Scope 1, 2, and 3 as required.</w:t>
      </w:r>
    </w:p>
    <w:p>
      <w:pPr>
        <w:numPr>
          <w:ilvl w:val="0"/>
          <w:numId w:val="1011"/>
        </w:numPr>
        <w:pStyle w:val="Compact"/>
      </w:pPr>
      <w:r>
        <w:rPr>
          <w:bCs/>
          <w:b/>
        </w:rPr>
        <w:t xml:space="preserve">2026 LSR Update:</w:t>
      </w:r>
      <w:r>
        <w:t xml:space="preserve"> </w:t>
      </w:r>
      <w:r>
        <w:t xml:space="preserve">The Land Sector and Removals (LSR) Standard, effective January 1, 2027, guides the accounting of emissions and removals from agricultural and land use activities. While \'utmlmhpqml\' may not have significant direct land use activities, any land-related impacts within its upstream supply chain (e.g., raw material production) would be accounted for under this standard, fostering a more complete picture of land-based emissions and removals.</w:t>
      </w:r>
    </w:p>
    <w:p>
      <w:pPr>
        <w:numPr>
          <w:ilvl w:val="0"/>
          <w:numId w:val="1011"/>
        </w:numPr>
        <w:pStyle w:val="Compact"/>
      </w:pPr>
      <w:r>
        <w:rPr>
          <w:bCs/>
          <w:b/>
        </w:rPr>
        <w:t xml:space="preserve">Scope 3 Compliance (2026 Requirements):</w:t>
      </w:r>
      <w:r>
        <w:t xml:space="preserve"> </w:t>
      </w:r>
      <w:r>
        <w:t xml:space="preserve">This analysis aims for comprehensive Scope 3 coverage. As per proposed 2026 requirements, companies must cover at least 95% of their *required* Scope 3 emissions. This illustrative report demonstrates the inclusion of key Scope 3 categories (purchased goods, transportation, use of sold products, end-of-life) to achieve substantial coverage. Future reports will detail quantification of exclusions if any, and increasingly prioritize primary data for enhanced accuracy and compliance with evolving data disaggregation requirements.</w:t>
      </w:r>
    </w:p>
    <w:bookmarkEnd w:id="38"/>
    <w:bookmarkEnd w:id="39"/>
    <w:p>
      <w:r>
        <w:pict>
          <v:rect style="width:0;height:1.5pt" o:hralign="center" o:hrstd="t" o:hr="t"/>
        </w:pict>
      </w:r>
    </w:p>
    <w:bookmarkStart w:id="42" w:name="review-report"/>
    <w:p>
      <w:pPr>
        <w:pStyle w:val="Heading2"/>
      </w:pPr>
      <w:r>
        <w:t xml:space="preserve">5. Review &amp; Report</w:t>
      </w:r>
    </w:p>
    <w:bookmarkStart w:id="40" w:name="emission-hotspots"/>
    <w:p>
      <w:pPr>
        <w:pStyle w:val="Heading3"/>
      </w:pPr>
      <w:r>
        <w:t xml:space="preserve">Emission Hotspots</w:t>
      </w:r>
    </w:p>
    <w:p>
      <w:pPr>
        <w:pStyle w:val="FirstParagraph"/>
      </w:pPr>
      <w:r>
        <w:t xml:space="preserve">Based on the illustrative calculations, the primary emission hotspots for \'utmlmhpqml\' are:</w:t>
      </w:r>
    </w:p>
    <w:p>
      <w:pPr>
        <w:numPr>
          <w:ilvl w:val="0"/>
          <w:numId w:val="1012"/>
        </w:numPr>
        <w:pStyle w:val="Compact"/>
      </w:pPr>
      <w:r>
        <w:rPr>
          <w:bCs/>
          <w:b/>
        </w:rPr>
        <w:t xml:space="preserve">Use Phase (150.0 kgCO2e):</w:t>
      </w:r>
      <w:r>
        <w:t xml:space="preserve"> </w:t>
      </w:r>
      <w:r>
        <w:t xml:space="preserve">This is by far the largest contributor, highlighting the importance of product energy efficiency during its operational lifespan. This often represents a significant challenge and opportunity for product redesign and user behavior influence.</w:t>
      </w:r>
    </w:p>
    <w:p>
      <w:pPr>
        <w:numPr>
          <w:ilvl w:val="0"/>
          <w:numId w:val="1012"/>
        </w:numPr>
        <w:pStyle w:val="Compact"/>
      </w:pPr>
      <w:r>
        <w:rPr>
          <w:bCs/>
          <w:b/>
        </w:rPr>
        <w:t xml:space="preserve">Materials Acquisition &amp; Pre-processing (32.4 kgCO2e):</w:t>
      </w:r>
      <w:r>
        <w:t xml:space="preserve"> </w:t>
      </w:r>
      <w:r>
        <w:t xml:space="preserve">The production of raw materials, particularly metals and plastics, constitutes the second-largest hotspot. Optimizing material selection, sourcing lower-carbon alternatives, and increasing recycled content are key levers.</w:t>
      </w:r>
    </w:p>
    <w:p>
      <w:pPr>
        <w:numPr>
          <w:ilvl w:val="0"/>
          <w:numId w:val="1012"/>
        </w:numPr>
        <w:pStyle w:val="Compact"/>
      </w:pPr>
      <w:r>
        <w:rPr>
          <w:bCs/>
          <w:b/>
        </w:rPr>
        <w:t xml:space="preserve">Production (2.7 kgCO2e):</w:t>
      </w:r>
      <w:r>
        <w:t xml:space="preserve"> </w:t>
      </w:r>
      <w:r>
        <w:t xml:space="preserve">While smaller than other stages, the emissions from purchased electricity in China indicate an opportunity for increased renewable energy sourcing at manufacturing facilities.</w:t>
      </w:r>
    </w:p>
    <w:p>
      <w:pPr>
        <w:numPr>
          <w:ilvl w:val="0"/>
          <w:numId w:val="1012"/>
        </w:numPr>
        <w:pStyle w:val="Compact"/>
      </w:pPr>
      <w:r>
        <w:rPr>
          <w:bCs/>
          <w:b/>
        </w:rPr>
        <w:t xml:space="preserve">Transportation and End-of-Life (2.1 kgCO2e and 0.9 kgCO2e):</w:t>
      </w:r>
      <w:r>
        <w:t xml:space="preserve"> </w:t>
      </w:r>
      <w:r>
        <w:t xml:space="preserve">These stages contribute a smaller, but still notable, portion. Efficiency in logistics and robust circular economy initiatives are important.</w:t>
      </w:r>
    </w:p>
    <w:bookmarkEnd w:id="40"/>
    <w:bookmarkStart w:id="41" w:name="data-reliability-and-recommendations"/>
    <w:p>
      <w:pPr>
        <w:pStyle w:val="Heading3"/>
      </w:pPr>
      <w:r>
        <w:t xml:space="preserve">Data Reliability and Recommendations</w:t>
      </w:r>
    </w:p>
    <w:p>
      <w:pPr>
        <w:pStyle w:val="FirstParagraph"/>
      </w:pPr>
      <w:r>
        <w:t xml:space="preserve">The accuracy of this PCF relies heavily on the quality and specificity of input data. For this illustrative report,</w:t>
      </w:r>
      <w:r>
        <w:t xml:space="preserve"> </w:t>
      </w:r>
      <w:r>
        <w:t xml:space="preserve">generic and assumed emission factors were used where specific product data was not provided.</w:t>
      </w:r>
    </w:p>
    <w:p>
      <w:pPr>
        <w:numPr>
          <w:ilvl w:val="0"/>
          <w:numId w:val="1013"/>
        </w:numPr>
        <w:pStyle w:val="Compact"/>
      </w:pPr>
      <w:r>
        <w:rPr>
          <w:bCs/>
          <w:b/>
        </w:rPr>
        <w:t xml:space="preserve">Primary Data Collection:</w:t>
      </w:r>
      <w:r>
        <w:t xml:space="preserve"> </w:t>
      </w:r>
      <w:r>
        <w:t xml:space="preserve">For future analyses, prioritize collecting primary data from suppliers for material composition, manufacturing processes, and energy consumption in the production facility in China. This is crucial for improving accuracy and meeting evolving Scope 3 reporting requirements for data quality.</w:t>
      </w:r>
    </w:p>
    <w:p>
      <w:pPr>
        <w:numPr>
          <w:ilvl w:val="0"/>
          <w:numId w:val="1013"/>
        </w:numPr>
        <w:pStyle w:val="Compact"/>
      </w:pPr>
      <w:r>
        <w:rPr>
          <w:bCs/>
          <w:b/>
        </w:rPr>
        <w:t xml:space="preserve">Supplier Engagement:</w:t>
      </w:r>
      <w:r>
        <w:t xml:space="preserve"> </w:t>
      </w:r>
      <w:r>
        <w:t xml:space="preserve">Engage with material and component suppliers to obtain their specific PCF data or facility-specific emission factors.</w:t>
      </w:r>
    </w:p>
    <w:p>
      <w:pPr>
        <w:numPr>
          <w:ilvl w:val="0"/>
          <w:numId w:val="1013"/>
        </w:numPr>
        <w:pStyle w:val="Compact"/>
      </w:pPr>
      <w:r>
        <w:rPr>
          <w:bCs/>
          <w:b/>
        </w:rPr>
        <w:t xml:space="preserve">Logistics Optimization:</w:t>
      </w:r>
      <w:r>
        <w:t xml:space="preserve"> </w:t>
      </w:r>
      <w:r>
        <w:t xml:space="preserve">Investigate opportunities for lower-emission transport modes (e.g., rail or sea freight over longer distances in Europe) and optimize last-mile delivery routes.</w:t>
      </w:r>
    </w:p>
    <w:p>
      <w:pPr>
        <w:numPr>
          <w:ilvl w:val="0"/>
          <w:numId w:val="1013"/>
        </w:numPr>
        <w:pStyle w:val="Compact"/>
      </w:pPr>
      <w:r>
        <w:rPr>
          <w:bCs/>
          <w:b/>
        </w:rPr>
        <w:t xml:space="preserve">Product Design for Energy Efficiency:</w:t>
      </w:r>
      <w:r>
        <w:t xml:space="preserve"> </w:t>
      </w:r>
      <w:r>
        <w:t xml:space="preserve">Focus on engineering and design improvements to reduce energy consumption during the product\'s use phase.</w:t>
      </w:r>
    </w:p>
    <w:p>
      <w:pPr>
        <w:numPr>
          <w:ilvl w:val="0"/>
          <w:numId w:val="1013"/>
        </w:numPr>
        <w:pStyle w:val="Compact"/>
      </w:pPr>
      <w:r>
        <w:rPr>
          <w:bCs/>
          <w:b/>
        </w:rPr>
        <w:t xml:space="preserve">Enhanced Circularity:</w:t>
      </w:r>
      <w:r>
        <w:t xml:space="preserve"> </w:t>
      </w:r>
      <w:r>
        <w:t xml:space="preserve">Further develop and promote take-back programs and investigate higher-value recycling or remanufacturing opportunities to maximize material recovery and minimize landfilling.</w:t>
      </w:r>
    </w:p>
    <w:p>
      <w:pPr>
        <w:numPr>
          <w:ilvl w:val="0"/>
          <w:numId w:val="1013"/>
        </w:numPr>
        <w:pStyle w:val="Compact"/>
      </w:pPr>
      <w:r>
        <w:rPr>
          <w:bCs/>
          <w:b/>
        </w:rPr>
        <w:t xml:space="preserve">Renewable Energy Sourcing:</w:t>
      </w:r>
      <w:r>
        <w:t xml:space="preserve"> </w:t>
      </w:r>
      <w:r>
        <w:t xml:space="preserve">Collaborate with production facilities in China to increase their renewable energy procurement or invest in on-site renewable energy generation.</w:t>
      </w:r>
    </w:p>
    <w:p>
      <w:pPr>
        <w:numPr>
          <w:ilvl w:val="0"/>
          <w:numId w:val="1013"/>
        </w:numPr>
        <w:pStyle w:val="Compact"/>
      </w:pPr>
      <w:r>
        <w:rPr>
          <w:bCs/>
          <w:b/>
        </w:rPr>
        <w:t xml:space="preserve">LSR Standard Implementation:</w:t>
      </w:r>
      <w:r>
        <w:t xml:space="preserve"> </w:t>
      </w:r>
      <w:r>
        <w:t xml:space="preserve">For relevant supply chain elements, prepare for the full implementation of the LSR Standard by understanding potential land-use impacts of raw material sourcing and developing mechanisms to track and report associated emissions and removals accurately.</w:t>
      </w:r>
    </w:p>
    <w:bookmarkEnd w:id="41"/>
    <w:bookmarkEnd w:id="42"/>
    <w:p>
      <w:pPr>
        <w:pStyle w:val="FirstParagraph"/>
      </w:pPr>
      <w:r>
        <w:t xml:space="preserve">Confidential - Internal Use Only | 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utmlmhpqml</dc:title>
  <dc:creator/>
  <dc:description>Detailed Product Carbon Footprint (PCF) analysis for utmlmhpqml by gqyxnwmmli, adhering to GHG Protocol and 2026 updates, performed by Senior Sustainability Consultant hkjhvoojtx.</dc:description>
  <dc:language>en</dc:language>
  <cp:keywords/>
  <dcterms:created xsi:type="dcterms:W3CDTF">2026-05-30T10:35:21Z</dcterms:created>
  <dcterms:modified xsi:type="dcterms:W3CDTF">2026-05-30T10:35:21Z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