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usnxpuwkhw</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usnxpuwkhw</w:t>
      </w:r>
    </w:p>
    <w:p>
      <w:pPr>
        <w:pStyle w:val="BodyText"/>
      </w:pPr>
      <w:r>
        <w:rPr>
          <w:bCs/>
          <w:b/>
        </w:rPr>
        <w:t xml:space="preserve">Company Name:</w:t>
      </w:r>
      <w:r>
        <w:t xml:space="preserve"> </w:t>
      </w:r>
      <w:r>
        <w:t xml:space="preserve">zpziywszvm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myxedgjwqo</w:t>
      </w:r>
    </w:p>
    <w:p>
      <w:pPr>
        <w:pStyle w:val="BodyText"/>
      </w:pPr>
      <w:r>
        <w:t xml:space="preserve">This report is generated based on available data and industry standards. While every effort has been made to ensure accuracy, certain assumptions have been made due to the placeholder nature of some input parameters, which are explicitly noted within the report.</w:t>
      </w:r>
    </w:p>
    <w:bookmarkEnd w:id="20"/>
    <w:bookmarkStart w:id="39" w:name="X750eda6f51e2597eb647fba99b0da804c38d0ea"/>
    <w:p>
      <w:pPr>
        <w:pStyle w:val="Heading1"/>
      </w:pPr>
      <w:r>
        <w:t xml:space="preserve">Product Carbon Footprint Analysis for usnxpuwkhw</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usnxpuwkhw, conducted for zpziywszvm by Senior Sustainability Consultant myxedgjwqo. The analysis adheres to the Greenhouse Gas (GHG) Protocol Product Life Cycle Accounting and Reporting Standard. The primary system boundary for the PCF is \'factory_gate\', quantifying emissions from raw material acquisition through manufacturing and transportation to the factory gate. Additionally, to provide a comprehensive understanding of the product\'s environmental impact, a broader life cycle assessment extending to the use phase and end-of-life scenarios has been included, categorizing these as downstream Scope 3 emissions. The total estimated cradle-to-gate PCF for usnxpuwkhw is</w:t>
      </w:r>
      <w:r>
        <w:t xml:space="preserve"> </w:t>
      </w:r>
      <w:r>
        <w:rPr>
          <w:bCs/>
          <w:b/>
        </w:rPr>
        <w:t xml:space="preserve">49.18 kg CO2e per functional unit</w:t>
      </w:r>
      <w:r>
        <w:t xml:space="preserve">, while a comprehensive cradle-to-grave analysis reveals a total of</w:t>
      </w:r>
      <w:r>
        <w:t xml:space="preserve"> </w:t>
      </w:r>
      <w:r>
        <w:rPr>
          <w:bCs/>
          <w:b/>
        </w:rPr>
        <w:t xml:space="preserve">82.78 kg CO2e per functional unit</w:t>
      </w:r>
      <w:r>
        <w:t xml:space="preserve">. Key hotspots were identified in material acquisition and the product\'s use phase, highlighting critical areas for decarbonization efforts.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In the face of escalating climate change concerns, understanding and quantifying the environmental impact of products is paramount for businesses committed to sustainability. This report outlines the Product Carbon Footprint (PCF) for usnxpuwkhw, a critical step for zpziywszvm in its journey towards enhanced environmental stewardship. A PCF quantifies the total greenhouse gas (GHG) emissions generated throughout a product\'s lifecycle, from raw material sourcing to end-of-life disposal. It is expressed in kilograms of carbon dioxide equivalents (CO2e) per unit of product.</w:t>
      </w:r>
    </w:p>
    <w:p>
      <w:pPr>
        <w:pStyle w:val="BodyText"/>
      </w:pPr>
      <w:r>
        <w:t xml:space="preserve">This analysis, performed by Senior Sustainability Consultant myxedgjwqo, provides zpziywszvm with granular, product-level data, enabling the identification of emission hotspots, informing sustainable design and procurement decisions, and fostering transparent communication with stakeholders.</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for usnxpuwkhw follows the stringent guidelines of the GHG Protocol Product Life Cycle Accounting and Reporting Standard. The methodology is structured around five key steps:</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w:t>
      </w:r>
      <w:r>
        <w:t xml:space="preserve"> </w:t>
      </w:r>
      <w:r>
        <w:t xml:space="preserve">Identifying and documenting all relevant processes and activities across the product\'s life cycle (Life Cycle Inventory stages).</w:t>
      </w:r>
    </w:p>
    <w:p>
      <w:pPr>
        <w:numPr>
          <w:ilvl w:val="0"/>
          <w:numId w:val="1001"/>
        </w:numPr>
        <w:pStyle w:val="Compact"/>
      </w:pPr>
      <w:r>
        <w:rPr>
          <w:bCs/>
          <w:b/>
        </w:rPr>
        <w:t xml:space="preserve">Collect Data:</w:t>
      </w:r>
      <w:r>
        <w:t xml:space="preserve"> </w:t>
      </w:r>
      <w:r>
        <w:t xml:space="preserve">Gathering primary and secondary data points for all inputs and outputs within the defined system boundaries.</w:t>
      </w:r>
    </w:p>
    <w:p>
      <w:pPr>
        <w:numPr>
          <w:ilvl w:val="0"/>
          <w:numId w:val="1001"/>
        </w:numPr>
        <w:pStyle w:val="Compact"/>
      </w:pPr>
      <w:r>
        <w:rPr>
          <w:bCs/>
          <w:b/>
        </w:rPr>
        <w:t xml:space="preserve">Calculate Emissions:</w:t>
      </w:r>
      <w:r>
        <w:t xml:space="preserve"> </w:t>
      </w:r>
      <w:r>
        <w:t xml:space="preserve">Quantifying GHG emissions by multiplying activity data by appropriate emission factors.</w:t>
      </w:r>
    </w:p>
    <w:p>
      <w:pPr>
        <w:numPr>
          <w:ilvl w:val="0"/>
          <w:numId w:val="1001"/>
        </w:numPr>
        <w:pStyle w:val="Compact"/>
      </w:pPr>
      <w:r>
        <w:rPr>
          <w:bCs/>
          <w:b/>
        </w:rPr>
        <w:t xml:space="preserve">Review &amp; Report:</w:t>
      </w:r>
      <w:r>
        <w:t xml:space="preserve"> </w:t>
      </w:r>
      <w:r>
        <w:t xml:space="preserve">Analyzing results, identifying hotspots, assessing data reliability, and providing actionable recommendations.</w:t>
      </w:r>
    </w:p>
    <w:bookmarkStart w:id="23" w:name="ghg-protocol-adherence-and-2026-updates"/>
    <w:p>
      <w:pPr>
        <w:pStyle w:val="Heading3"/>
      </w:pPr>
      <w:r>
        <w:t xml:space="preserve">GHG Protocol Adherence and 2026 Updates</w:t>
      </w:r>
    </w:p>
    <w:p>
      <w:pPr>
        <w:pStyle w:val="FirstParagraph"/>
      </w:pPr>
      <w:r>
        <w:t xml:space="preserve">Emissions are systematically categorized into Scope 1 (direct emissions from owned or controlled sources), Scope 2 (indirect emissions from the generation of purchased energy), and Scope 3 (all other indirect emissions in the value chain). This report incorporates the latest developments in GHG accounting:</w:t>
      </w:r>
    </w:p>
    <w:p>
      <w:pPr>
        <w:numPr>
          <w:ilvl w:val="0"/>
          <w:numId w:val="1002"/>
        </w:numPr>
        <w:pStyle w:val="Compact"/>
      </w:pPr>
      <w:r>
        <w:rPr>
          <w:bCs/>
          <w:b/>
        </w:rPr>
        <w:t xml:space="preserve">2026 LSR Update:</w:t>
      </w:r>
      <w:r>
        <w:t xml:space="preserve"> </w:t>
      </w:r>
      <w:r>
        <w:t xml:space="preserve">The Land Sector and Removals (LSR) Standard, released by the GHG Protocol on January 30, 2026, will take effect on January 1, 2027. While the accompanying guidance is expected in Q2 2026, this report acknowledges the standard\'s application for land use and carbon removals, particularly relevant for upstream agricultural or bio-based materials, which would be accounted for as part of Scope 3. The LSR Standard provides methods to quantify, report, and track land emissions, CO2 removals, and other key metrics.</w:t>
      </w:r>
    </w:p>
    <w:p>
      <w:pPr>
        <w:numPr>
          <w:ilvl w:val="0"/>
          <w:numId w:val="1002"/>
        </w:numPr>
        <w:pStyle w:val="Compact"/>
      </w:pPr>
      <w:r>
        <w:rPr>
          <w:bCs/>
          <w:b/>
        </w:rPr>
        <w:t xml:space="preserve">Scope 3 Compliance:</w:t>
      </w:r>
      <w:r>
        <w:t xml:space="preserve"> </w:t>
      </w:r>
      <w:r>
        <w:t xml:space="preserve">Aligning with the 2026 requirements, this analysis aims for at least 95% coverage for Scope 3 reporting. This mandatory completeness rule, part of the significant transformation in corporate carbon accounting, eliminates selective disclosure and requires companies to account for the vast majority of their relevant Scope 3 emissions to claim conformance. Furthermore, data is disaggregated by source type (primary vs. secondary) to enhance transparency and data quality, a crucial aspect of the updated framework.</w:t>
      </w:r>
    </w:p>
    <w:p>
      <w:r>
        <w:pict>
          <v:rect style="width:0;height:1.5pt" o:hralign="center" o:hrstd="t" o:hr="t"/>
        </w:pict>
      </w:r>
    </w:p>
    <w:bookmarkEnd w:id="23"/>
    <w:bookmarkEnd w:id="24"/>
    <w:bookmarkStart w:id="25" w:name="scope-definition"/>
    <w:p>
      <w:pPr>
        <w:pStyle w:val="Heading2"/>
      </w:pPr>
      <w:r>
        <w:t xml:space="preserve">3. Scope Definition</w:t>
      </w:r>
    </w:p>
    <w:p>
      <w:pPr>
        <w:pStyle w:val="FirstParagraph"/>
      </w:pPr>
      <w:r>
        <w:t xml:space="preserve">The foundational elements of this PCF study are defined as follows:</w:t>
      </w:r>
    </w:p>
    <w:p>
      <w:pPr>
        <w:numPr>
          <w:ilvl w:val="0"/>
          <w:numId w:val="1003"/>
        </w:numPr>
        <w:pStyle w:val="Compact"/>
      </w:pPr>
      <w:r>
        <w:rPr>
          <w:bCs/>
          <w:b/>
        </w:rPr>
        <w:t xml:space="preserve">Functional Unit:</w:t>
      </w:r>
      <w:r>
        <w:t xml:space="preserve"> </w:t>
      </w:r>
      <w:r>
        <w:t xml:space="preserve">1.0 unit of usnxpuwkhw. This represents the reference unit to which all inputs and outputs are related.</w:t>
      </w:r>
    </w:p>
    <w:p>
      <w:pPr>
        <w:numPr>
          <w:ilvl w:val="0"/>
          <w:numId w:val="1003"/>
        </w:numPr>
        <w:pStyle w:val="Compact"/>
      </w:pPr>
      <w:r>
        <w:rPr>
          <w:bCs/>
          <w:b/>
        </w:rPr>
        <w:t xml:space="preserve">System Boundary:</w:t>
      </w:r>
      <w:r>
        <w:t xml:space="preserve"> </w:t>
      </w:r>
      <w:r>
        <w:t xml:space="preserve">The primary reporting boundary for the PCF is defined as \'factory_gate\' (cradle-to-gate). This encompasses all emissions from raw material extraction and processing, through manufacturing, to the point where the finished product leaves the production facility. For a holistic understanding, downstream emissions (Use Phase and End-of-Life) are also analyzed and reported as part of a broader life cycle assessment, though they fall outside the strict \'factory_gate\' boundary.</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numPr>
          <w:ilvl w:val="0"/>
          <w:numId w:val="1003"/>
        </w:numPr>
        <w:pStyle w:val="Compact"/>
      </w:pPr>
      <w:r>
        <w:rPr>
          <w:bCs/>
          <w:b/>
        </w:rPr>
        <w:t xml:space="preserve">Allocation:</w:t>
      </w:r>
      <w:r>
        <w:t xml:space="preserve"> </w:t>
      </w:r>
      <w:r>
        <w:t xml:space="preserve">Emissions from co-products or shared processes are allocated based on physical mass, where applicable.</w:t>
      </w:r>
    </w:p>
    <w:p>
      <w:r>
        <w:pict>
          <v:rect style="width:0;height:1.5pt" o:hralign="center" o:hrstd="t" o:hr="t"/>
        </w:pict>
      </w:r>
    </w:p>
    <w:bookmarkEnd w:id="25"/>
    <w:bookmarkStart w:id="31" w:name="life-cycle-inventory-lci-data-collection"/>
    <w:p>
      <w:pPr>
        <w:pStyle w:val="Heading2"/>
      </w:pPr>
      <w:r>
        <w:t xml:space="preserve">4. Life Cycle Inventory (LCI) &amp; Data Collection</w:t>
      </w:r>
    </w:p>
    <w:p>
      <w:pPr>
        <w:pStyle w:val="FirstParagraph"/>
      </w:pPr>
      <w:r>
        <w:t xml:space="preserve">This section details the inputs and processes across the product\'s life cycle, along with the data collected for emission calculations. Due to the placeholder nature of some input parameters, illustrative, representative data has been used for calculation, and this is explicitly noted.</w:t>
      </w:r>
    </w:p>
    <w:bookmarkStart w:id="26" w:name="X803d102c4f2158788a77a329bbb9f37e8746fd8"/>
    <w:p>
      <w:pPr>
        <w:pStyle w:val="Heading3"/>
      </w:pPr>
      <w:r>
        <w:t xml:space="preserve">4.1. Materials Acquisition &amp; Pre-processing (Scope 3, Category 1 - Purchased Goods and Services)</w:t>
      </w:r>
    </w:p>
    <w:p>
      <w:pPr>
        <w:pStyle w:val="FirstParagraph"/>
      </w:pPr>
      <w:r>
        <w:t xml:space="preserve">The Detailed Bill of Materials (BOM) for usnxpuwkhw was provided as `wfkqzfuw`. As this was a placeholder string, the following example BOM data has been used for this analysis. Emission factors (EFs) and total carbon values provided in the BOM are directly used for material impact calculation, which often represent the largest share of a company\'s overall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6.7</w:t>
            </w:r>
          </w:p>
        </w:tc>
        <w:tc>
          <w:tcPr/>
          <w:p>
            <w:pPr>
              <w:pStyle w:val="Compact"/>
              <w:jc w:val="left"/>
            </w:pPr>
            <w:r>
              <w:t xml:space="preserve">16.75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2.8</w:t>
            </w:r>
          </w:p>
        </w:tc>
        <w:tc>
          <w:tcPr/>
          <w:p>
            <w:pPr>
              <w:pStyle w:val="Compact"/>
              <w:jc w:val="left"/>
            </w:pPr>
            <w:r>
              <w:t xml:space="preserve">3.36</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18.0</w:t>
            </w:r>
          </w:p>
        </w:tc>
        <w:tc>
          <w:tcPr/>
          <w:p>
            <w:pPr>
              <w:pStyle w:val="Compact"/>
              <w:jc w:val="left"/>
            </w:pPr>
            <w:r>
              <w:t xml:space="preserve">5.40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gridSpan w:val="7"/>
          </w:tcPr>
          <w:p>
            <w:pPr>
              <w:pStyle w:val="Compact"/>
              <w:jc w:val="left"/>
            </w:pPr>
            <w:r>
              <w:rPr>
                <w:bCs/>
                <w:b/>
              </w:rPr>
              <w:t xml:space="preserve">Total Material Emissions</w:t>
            </w:r>
          </w:p>
        </w:tc>
        <w:tc>
          <w:tcPr/>
          <w:p>
            <w:pPr>
              <w:pStyle w:val="Compact"/>
              <w:jc w:val="left"/>
            </w:pPr>
            <w:r>
              <w:rPr>
                <w:bCs/>
                <w:b/>
              </w:rPr>
              <w:t xml:space="preserve">27.06 kg CO2e</w:t>
            </w:r>
          </w:p>
        </w:tc>
      </w:tr>
    </w:tbl>
    <w:bookmarkEnd w:id="26"/>
    <w:bookmarkStart w:id="27" w:name="X2d7d2731a5ec24109560c3a324a923b9e4b36fa"/>
    <w:p>
      <w:pPr>
        <w:pStyle w:val="Heading3"/>
      </w:pPr>
      <w:r>
        <w:t xml:space="preserve">4.2. Manufacturing (Scope 2 - Purchased Electricity)</w:t>
      </w:r>
    </w:p>
    <w:p>
      <w:pPr>
        <w:pStyle w:val="FirstParagraph"/>
      </w:pPr>
      <w:r>
        <w:t xml:space="preserve">Energy consumption during the production phase is a significant contributor to the PCF. The following customization data was used for the production footprint:</w:t>
      </w:r>
    </w:p>
    <w:p>
      <w:pPr>
        <w:numPr>
          <w:ilvl w:val="0"/>
          <w:numId w:val="1005"/>
        </w:numPr>
        <w:pStyle w:val="Compact"/>
      </w:pPr>
      <w:r>
        <w:rPr>
          <w:bCs/>
          <w:b/>
        </w:rPr>
        <w:t xml:space="preserve">Energy Intensity (kWh/unit):</w:t>
      </w:r>
      <w:r>
        <w:t xml:space="preserve"> </w:t>
      </w:r>
      <w:r>
        <w:t xml:space="preserve">yxhytpzkxm (assumed 120 kWh/unit)</w:t>
      </w:r>
    </w:p>
    <w:p>
      <w:pPr>
        <w:numPr>
          <w:ilvl w:val="0"/>
          <w:numId w:val="1005"/>
        </w:numPr>
        <w:pStyle w:val="Compact"/>
      </w:pPr>
      <w:r>
        <w:rPr>
          <w:bCs/>
          <w:b/>
        </w:rPr>
        <w:t xml:space="preserve">Renewable Energy Usage:</w:t>
      </w:r>
      <w:r>
        <w:t xml:space="preserve"> </w:t>
      </w:r>
      <w:r>
        <w:t xml:space="preserve">qknkiqrteh (assumed 70%)</w:t>
      </w:r>
    </w:p>
    <w:p>
      <w:pPr>
        <w:pStyle w:val="FirstParagraph"/>
      </w:pPr>
      <w:r>
        <w:rPr>
          <w:bCs/>
          <w:b/>
        </w:rPr>
        <w:t xml:space="preserve">Emission Factors:</w:t>
      </w:r>
    </w:p>
    <w:p>
      <w:pPr>
        <w:numPr>
          <w:ilvl w:val="0"/>
          <w:numId w:val="1006"/>
        </w:numPr>
        <w:pStyle w:val="Compact"/>
      </w:pPr>
      <w:r>
        <w:t xml:space="preserve">Grid Electricity (China): 0.577 kg CO2e/kWh (Source: China Electricity Carbon Footprint Factors, 2023, or IEA/MEE data; averaged for this example).</w:t>
      </w:r>
    </w:p>
    <w:p>
      <w:pPr>
        <w:numPr>
          <w:ilvl w:val="0"/>
          <w:numId w:val="1006"/>
        </w:numPr>
        <w:pStyle w:val="Compact"/>
      </w:pPr>
      <w:r>
        <w:t xml:space="preserve">Renewable Electricity (for residual emissions from infrastructure/transmission): 0.01 kg CO2e/kWh (Illustrative).</w:t>
      </w:r>
    </w:p>
    <w:p>
      <w:pPr>
        <w:pStyle w:val="FirstParagraph"/>
      </w:pPr>
      <w:r>
        <w:rPr>
          <w:bCs/>
          <w:b/>
        </w:rPr>
        <w:t xml:space="preserve">Calculation:</w:t>
      </w:r>
    </w:p>
    <w:p>
      <w:pPr>
        <w:numPr>
          <w:ilvl w:val="0"/>
          <w:numId w:val="1007"/>
        </w:numPr>
        <w:pStyle w:val="Compact"/>
      </w:pPr>
      <w:r>
        <w:t xml:space="preserve">Total Energy Consumption: 120 kWh/unit</w:t>
      </w:r>
    </w:p>
    <w:p>
      <w:pPr>
        <w:numPr>
          <w:ilvl w:val="0"/>
          <w:numId w:val="1007"/>
        </w:numPr>
        <w:pStyle w:val="Compact"/>
      </w:pPr>
      <w:r>
        <w:t xml:space="preserve">Renewable Energy Consumption: 120 kWh/unit * 70% = 84 kWh/unit</w:t>
      </w:r>
    </w:p>
    <w:p>
      <w:pPr>
        <w:numPr>
          <w:ilvl w:val="0"/>
          <w:numId w:val="1007"/>
        </w:numPr>
        <w:pStyle w:val="Compact"/>
      </w:pPr>
      <w:r>
        <w:t xml:space="preserve">Grid Electricity Consumption: 120 kWh/unit * (1 - 70%) = 36 kWh/unit</w:t>
      </w:r>
    </w:p>
    <w:p>
      <w:pPr>
        <w:numPr>
          <w:ilvl w:val="0"/>
          <w:numId w:val="1007"/>
        </w:numPr>
        <w:pStyle w:val="Compact"/>
      </w:pPr>
      <w:r>
        <w:t xml:space="preserve">Emissions from Grid Electricity: 36 kWh * 0.577 kg CO2e/kWh = 20.772 kg CO2e</w:t>
      </w:r>
    </w:p>
    <w:p>
      <w:pPr>
        <w:numPr>
          <w:ilvl w:val="0"/>
          <w:numId w:val="1007"/>
        </w:numPr>
        <w:pStyle w:val="Compact"/>
      </w:pPr>
      <w:r>
        <w:t xml:space="preserve">Emissions from Renewable Electricity: 84 kWh * 0.01 kg CO2e/kWh = 0.84 kg CO2e</w:t>
      </w:r>
    </w:p>
    <w:p>
      <w:pPr>
        <w:numPr>
          <w:ilvl w:val="0"/>
          <w:numId w:val="1007"/>
        </w:numPr>
        <w:pStyle w:val="Compact"/>
      </w:pPr>
      <w:r>
        <w:rPr>
          <w:bCs/>
          <w:b/>
        </w:rPr>
        <w:t xml:space="preserve">Total Production Energy Emissions: 21.612 kg CO2e</w:t>
      </w:r>
    </w:p>
    <w:bookmarkEnd w:id="27"/>
    <w:bookmarkStart w:id="28" w:name="X42c8668f5e854f7afafe138688b29f1561ccf52"/>
    <w:p>
      <w:pPr>
        <w:pStyle w:val="Heading3"/>
      </w:pPr>
      <w:r>
        <w:t xml:space="preserve">4.3. Transport (Scope 3, Category 4 - Upstream Transportation and Distribution)</w:t>
      </w:r>
    </w:p>
    <w:p>
      <w:pPr>
        <w:pStyle w:val="FirstParagraph"/>
      </w:pPr>
      <w:r>
        <w:t xml:space="preserve">Logistics play a crucial role in the supply chain footprint. The following specific logistics data was incorporated:</w:t>
      </w:r>
    </w:p>
    <w:p>
      <w:pPr>
        <w:numPr>
          <w:ilvl w:val="0"/>
          <w:numId w:val="1008"/>
        </w:numPr>
        <w:pStyle w:val="Compact"/>
      </w:pPr>
      <w:r>
        <w:rPr>
          <w:bCs/>
          <w:b/>
        </w:rPr>
        <w:t xml:space="preserve">Transport Mode:</w:t>
      </w:r>
      <w:r>
        <w:t xml:space="preserve"> </w:t>
      </w:r>
      <w:r>
        <w:t xml:space="preserve">Select Mode (assumed as Road Freight)</w:t>
      </w:r>
    </w:p>
    <w:p>
      <w:pPr>
        <w:numPr>
          <w:ilvl w:val="0"/>
          <w:numId w:val="1008"/>
        </w:numPr>
        <w:pStyle w:val="Compact"/>
      </w:pPr>
      <w:r>
        <w:rPr>
          <w:bCs/>
          <w:b/>
        </w:rPr>
        <w:t xml:space="preserve">Transport Distance:</w:t>
      </w:r>
      <w:r>
        <w:t xml:space="preserve"> </w:t>
      </w:r>
      <w:r>
        <w:t xml:space="preserve">wowjxpnjhn (assumed 1500 km)</w:t>
      </w:r>
    </w:p>
    <w:p>
      <w:pPr>
        <w:numPr>
          <w:ilvl w:val="0"/>
          <w:numId w:val="1008"/>
        </w:numPr>
        <w:pStyle w:val="Compact"/>
      </w:pPr>
      <w:r>
        <w:rPr>
          <w:bCs/>
          <w:b/>
        </w:rPr>
        <w:t xml:space="preserve">Last-Mile Delivery Channel:</w:t>
      </w:r>
      <w:r>
        <w:t xml:space="preserve"> </w:t>
      </w:r>
      <w:r>
        <w:t xml:space="preserve">Delivery Type (assumed as Parcel Van Delivery)</w:t>
      </w:r>
    </w:p>
    <w:p>
      <w:pPr>
        <w:pStyle w:val="FirstParagraph"/>
      </w:pPr>
      <w:r>
        <w:rPr>
          <w:bCs/>
          <w:b/>
        </w:rPr>
        <w:t xml:space="preserve">Product Weight for Transport:</w:t>
      </w:r>
      <w:r>
        <w:t xml:space="preserve"> </w:t>
      </w:r>
      <w:r>
        <w:t xml:space="preserve">Sum of BOM quantities = 4.15 kg = 0.00415 tonnes.</w:t>
      </w:r>
    </w:p>
    <w:p>
      <w:pPr>
        <w:pStyle w:val="BodyText"/>
      </w:pPr>
      <w:r>
        <w:rPr>
          <w:bCs/>
          <w:b/>
        </w:rPr>
        <w:t xml:space="preserve">Emission Factors:</w:t>
      </w:r>
    </w:p>
    <w:p>
      <w:pPr>
        <w:numPr>
          <w:ilvl w:val="0"/>
          <w:numId w:val="1009"/>
        </w:numPr>
        <w:pStyle w:val="Compact"/>
      </w:pPr>
      <w:r>
        <w:t xml:space="preserve">Road Freight (average heavy duty): 0.08 kg CO2e/tonne-km (derived from industry averages like GLEC/DEFRA).</w:t>
      </w:r>
    </w:p>
    <w:p>
      <w:pPr>
        <w:numPr>
          <w:ilvl w:val="0"/>
          <w:numId w:val="1009"/>
        </w:numPr>
        <w:pStyle w:val="Compact"/>
      </w:pPr>
      <w:r>
        <w:t xml:space="preserve">Last-Mile Delivery (parcel van): For a 2kg package, 1000 km of road freight is 0.21 kg CO2e; therefore, for 50 km, it\'s (0.21/1000)*50 = 0.0105 kg CO2e (derived from typical parcel delivery estimates).</w:t>
      </w:r>
    </w:p>
    <w:p>
      <w:pPr>
        <w:pStyle w:val="FirstParagraph"/>
      </w:pPr>
      <w:r>
        <w:rPr>
          <w:bCs/>
          <w:b/>
        </w:rPr>
        <w:t xml:space="preserve">Calculation:</w:t>
      </w:r>
    </w:p>
    <w:p>
      <w:pPr>
        <w:numPr>
          <w:ilvl w:val="0"/>
          <w:numId w:val="1010"/>
        </w:numPr>
        <w:pStyle w:val="Compact"/>
      </w:pPr>
      <w:r>
        <w:t xml:space="preserve">Primary Transport Emissions (Road Freight): 0.00415 tonnes * 1500 km * 0.08 kg CO2e/tonne-km = 0.498 kg CO2e</w:t>
      </w:r>
    </w:p>
    <w:p>
      <w:pPr>
        <w:numPr>
          <w:ilvl w:val="0"/>
          <w:numId w:val="1010"/>
        </w:numPr>
        <w:pStyle w:val="Compact"/>
      </w:pPr>
      <w:r>
        <w:t xml:space="preserve">Last-Mile Delivery Emissions (assuming 50 km distance for last mile): 0.0105 kg CO2e</w:t>
      </w:r>
    </w:p>
    <w:p>
      <w:pPr>
        <w:numPr>
          <w:ilvl w:val="0"/>
          <w:numId w:val="1010"/>
        </w:numPr>
        <w:pStyle w:val="Compact"/>
      </w:pPr>
      <w:r>
        <w:rPr>
          <w:bCs/>
          <w:b/>
        </w:rPr>
        <w:t xml:space="preserve">Total Transport Emissions: 0.498 + 0.0105 = 0.5085 kg CO2e</w:t>
      </w:r>
    </w:p>
    <w:bookmarkEnd w:id="28"/>
    <w:bookmarkStart w:id="29" w:name="Xe72837a908ad344b018b3447ff671a3dec19470"/>
    <w:p>
      <w:pPr>
        <w:pStyle w:val="Heading3"/>
      </w:pPr>
      <w:r>
        <w:t xml:space="preserve">4.4. Use Phase (Scope 3, Category 11 - Use of Sold Products)</w:t>
      </w:r>
    </w:p>
    <w:p>
      <w:pPr>
        <w:pStyle w:val="FirstParagraph"/>
      </w:pPr>
      <w:r>
        <w:t xml:space="preserve">The \'Use Phase\' calculation incorporates the specific durability and consumption data provided:</w:t>
      </w:r>
    </w:p>
    <w:p>
      <w:pPr>
        <w:numPr>
          <w:ilvl w:val="0"/>
          <w:numId w:val="1011"/>
        </w:numPr>
        <w:pStyle w:val="Compact"/>
      </w:pPr>
      <w:r>
        <w:rPr>
          <w:bCs/>
          <w:b/>
        </w:rPr>
        <w:t xml:space="preserve">Product Lifespan:</w:t>
      </w:r>
      <w:r>
        <w:t xml:space="preserve"> </w:t>
      </w:r>
      <w:r>
        <w:t xml:space="preserve">tduhfdjjou (assumed 7 years)</w:t>
      </w:r>
    </w:p>
    <w:p>
      <w:pPr>
        <w:numPr>
          <w:ilvl w:val="0"/>
          <w:numId w:val="1011"/>
        </w:numPr>
        <w:pStyle w:val="Compact"/>
      </w:pPr>
      <w:r>
        <w:rPr>
          <w:bCs/>
          <w:b/>
        </w:rPr>
        <w:t xml:space="preserve">Energy Consumption in Use:</w:t>
      </w:r>
      <w:r>
        <w:t xml:space="preserve"> </w:t>
      </w:r>
      <w:r>
        <w:t xml:space="preserve">rpodeupwyp (assumed 25 kWh/year)</w:t>
      </w:r>
    </w:p>
    <w:p>
      <w:pPr>
        <w:pStyle w:val="FirstParagraph"/>
      </w:pPr>
      <w:r>
        <w:t xml:space="preserve">Given the "Supply Chain Focus: Europe Focused", it is assumed the product\'s primary use location is in Europe.</w:t>
      </w:r>
    </w:p>
    <w:p>
      <w:pPr>
        <w:pStyle w:val="BodyText"/>
      </w:pPr>
      <w:r>
        <w:rPr>
          <w:bCs/>
          <w:b/>
        </w:rPr>
        <w:t xml:space="preserve">Emission Factor:</w:t>
      </w:r>
      <w:r>
        <w:t xml:space="preserve"> </w:t>
      </w:r>
      <w:r>
        <w:t xml:space="preserve">Generic EU Grid Electricity: 0.25 kg CO2e/kWh (illustrative, varies by country/mix).</w:t>
      </w:r>
    </w:p>
    <w:p>
      <w:pPr>
        <w:pStyle w:val="BodyText"/>
      </w:pPr>
      <w:r>
        <w:rPr>
          <w:bCs/>
          <w:b/>
        </w:rPr>
        <w:t xml:space="preserve">Calculation:</w:t>
      </w:r>
    </w:p>
    <w:p>
      <w:pPr>
        <w:numPr>
          <w:ilvl w:val="0"/>
          <w:numId w:val="1012"/>
        </w:numPr>
        <w:pStyle w:val="Compact"/>
      </w:pPr>
      <w:r>
        <w:t xml:space="preserve">Total Energy Consumption in Use: 25 kWh/year * 7 years = 175 kWh</w:t>
      </w:r>
    </w:p>
    <w:p>
      <w:pPr>
        <w:numPr>
          <w:ilvl w:val="0"/>
          <w:numId w:val="1012"/>
        </w:numPr>
        <w:pStyle w:val="Compact"/>
      </w:pPr>
      <w:r>
        <w:rPr>
          <w:bCs/>
          <w:b/>
        </w:rPr>
        <w:t xml:space="preserve">Use Phase Emissions: 175 kWh * 0.25 kg CO2e/kWh = 43.75 kg CO2e</w:t>
      </w:r>
    </w:p>
    <w:bookmarkEnd w:id="29"/>
    <w:bookmarkStart w:id="30" w:name="X18c81bc1109c1a847ac842bd745cc472e3f99f0"/>
    <w:p>
      <w:pPr>
        <w:pStyle w:val="Heading3"/>
      </w:pPr>
      <w:r>
        <w:t xml:space="preserve">4.5. End-of-Life (EoL) (Scope 3, Category 12 - End-of-Life Treatment of Sold Products)</w:t>
      </w:r>
    </w:p>
    <w:p>
      <w:pPr>
        <w:pStyle w:val="FirstParagraph"/>
      </w:pPr>
      <w:r>
        <w:t xml:space="preserve">End-of-Life (EoL) scenarios reflect circular economy impacts:</w:t>
      </w:r>
    </w:p>
    <w:p>
      <w:pPr>
        <w:numPr>
          <w:ilvl w:val="0"/>
          <w:numId w:val="1013"/>
        </w:numPr>
        <w:pStyle w:val="Compact"/>
      </w:pPr>
      <w:r>
        <w:rPr>
          <w:bCs/>
          <w:b/>
        </w:rPr>
        <w:t xml:space="preserve">Recyclability Percentage:</w:t>
      </w:r>
      <w:r>
        <w:t xml:space="preserve"> </w:t>
      </w:r>
      <w:r>
        <w:t xml:space="preserve">kltdirytud (assumed 75%)</w:t>
      </w:r>
    </w:p>
    <w:p>
      <w:pPr>
        <w:numPr>
          <w:ilvl w:val="0"/>
          <w:numId w:val="1013"/>
        </w:numPr>
        <w:pStyle w:val="Compact"/>
      </w:pPr>
      <w:r>
        <w:rPr>
          <w:bCs/>
          <w:b/>
        </w:rPr>
        <w:t xml:space="preserve">Circular/Take-back Programs:</w:t>
      </w:r>
      <w:r>
        <w:t xml:space="preserve"> </w:t>
      </w:r>
      <w:r>
        <w:t xml:space="preserve">jgihqitfui (assumed "Established product take-back program with refurbishment options.")</w:t>
      </w:r>
    </w:p>
    <w:p>
      <w:pPr>
        <w:pStyle w:val="FirstParagraph"/>
      </w:pPr>
      <w:r>
        <w:rPr>
          <w:bCs/>
          <w:b/>
        </w:rPr>
        <w:t xml:space="preserve">Calculation (Recycling Credit / Avoided Emissions):</w:t>
      </w:r>
    </w:p>
    <w:p>
      <w:pPr>
        <w:pStyle w:val="BodyText"/>
      </w:pPr>
      <w:r>
        <w:t xml:space="preserve">A credit is applied for the portion of the product that is recycled, reflecting avoided virgin material production emissions. We assume a conservative recycling credit of 50% of the initial material emissions for the recyclable fraction.</w:t>
      </w:r>
    </w:p>
    <w:p>
      <w:pPr>
        <w:numPr>
          <w:ilvl w:val="0"/>
          <w:numId w:val="1014"/>
        </w:numPr>
        <w:pStyle w:val="Compact"/>
      </w:pPr>
      <w:r>
        <w:t xml:space="preserve">Total Material Emissions (from BOM): 27.06 kg CO2e</w:t>
      </w:r>
    </w:p>
    <w:p>
      <w:pPr>
        <w:numPr>
          <w:ilvl w:val="0"/>
          <w:numId w:val="1014"/>
        </w:numPr>
        <w:pStyle w:val="Compact"/>
      </w:pPr>
      <w:r>
        <w:t xml:space="preserve">Recycling Credit: 27.06 kg CO2e * 75% (recyclability) * 50% (credit factor) = 10.1475 kg CO2e</w:t>
      </w:r>
    </w:p>
    <w:p>
      <w:pPr>
        <w:numPr>
          <w:ilvl w:val="0"/>
          <w:numId w:val="1014"/>
        </w:numPr>
        <w:pStyle w:val="Compact"/>
      </w:pPr>
      <w:r>
        <w:rPr>
          <w:bCs/>
          <w:b/>
        </w:rPr>
        <w:t xml:space="preserve">Net End-of-Life Emissions (Credit): -10.1475 kg CO2e</w:t>
      </w:r>
    </w:p>
    <w:p>
      <w:r>
        <w:pict>
          <v:rect style="width:0;height:1.5pt" o:hralign="center" o:hrstd="t" o:hr="t"/>
        </w:pict>
      </w:r>
    </w:p>
    <w:bookmarkEnd w:id="30"/>
    <w:bookmarkEnd w:id="31"/>
    <w:bookmarkStart w:id="34" w:name="emissions-calculation-and-categorization"/>
    <w:p>
      <w:pPr>
        <w:pStyle w:val="Heading2"/>
      </w:pPr>
      <w:r>
        <w:t xml:space="preserve">5. Emissions Calculation and Categorization</w:t>
      </w:r>
    </w:p>
    <w:p>
      <w:pPr>
        <w:pStyle w:val="FirstParagraph"/>
      </w:pPr>
      <w:r>
        <w:t xml:space="preserve">The total Product Carbon Footprint is calculated by summing the emissions from each life cycle stage. Emissions are categorized according to the GHG Protocol Scopes.</w:t>
      </w:r>
    </w:p>
    <w:bookmarkStart w:id="32" w:name="Xe843df21ef436a4b0aa5eec413326ab142a1fe2"/>
    <w:p>
      <w:pPr>
        <w:pStyle w:val="Heading3"/>
      </w:pPr>
      <w:r>
        <w:t xml:space="preserve">5.1. Cradle-to-Gate Product Carbon Footprint (Factory Gate Boundary)</w:t>
      </w:r>
    </w:p>
    <w:p>
      <w:pPr>
        <w:pStyle w:val="FirstParagraph"/>
      </w:pPr>
      <w:r>
        <w:t xml:space="preserve">This section reports the PCF strictly adhering to the \'factory_gate\' system boundary.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27.06</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21.612</w:t>
            </w:r>
          </w:p>
        </w:tc>
      </w:tr>
      <w:tr>
        <w:tc>
          <w:tcPr/>
          <w:p>
            <w:pPr>
              <w:pStyle w:val="Compact"/>
              <w:jc w:val="left"/>
            </w:pPr>
            <w:r>
              <w:t xml:space="preserve">Transport (Upstream &amp; to Factory Gate)</w:t>
            </w:r>
          </w:p>
        </w:tc>
        <w:tc>
          <w:tcPr/>
          <w:p>
            <w:pPr>
              <w:pStyle w:val="Compact"/>
              <w:jc w:val="left"/>
            </w:pPr>
            <w:r>
              <w:t xml:space="preserve">Scope 3, Category 4</w:t>
            </w:r>
          </w:p>
        </w:tc>
        <w:tc>
          <w:tcPr/>
          <w:p>
            <w:pPr>
              <w:pStyle w:val="Compact"/>
              <w:jc w:val="left"/>
            </w:pPr>
            <w:r>
              <w:t xml:space="preserve">0.5085</w:t>
            </w:r>
          </w:p>
        </w:tc>
      </w:tr>
      <w:tr>
        <w:tc>
          <w:tcPr>
            <w:gridSpan w:val="2"/>
          </w:tcPr>
          <w:p>
            <w:pPr>
              <w:pStyle w:val="Compact"/>
              <w:jc w:val="left"/>
            </w:pPr>
            <w:r>
              <w:rPr>
                <w:bCs/>
                <w:b/>
              </w:rPr>
              <w:t xml:space="preserve">Total Cradle-to-Gate PCF</w:t>
            </w:r>
          </w:p>
        </w:tc>
        <w:tc>
          <w:tcPr/>
          <w:p>
            <w:pPr>
              <w:pStyle w:val="Compact"/>
              <w:jc w:val="left"/>
            </w:pPr>
            <w:r>
              <w:rPr>
                <w:bCs/>
                <w:b/>
              </w:rPr>
              <w:t xml:space="preserve">49.18 kg CO2e</w:t>
            </w:r>
          </w:p>
        </w:tc>
      </w:tr>
    </w:tbl>
    <w:p>
      <w:pPr>
        <w:pStyle w:val="BodyText"/>
      </w:pPr>
      <w:r>
        <w:rPr>
          <w:bCs/>
          <w:b/>
        </w:rPr>
        <w:t xml:space="preserve">Scope Breakdown for Cradle-to-Gate PCF:</w:t>
      </w:r>
    </w:p>
    <w:p>
      <w:pPr>
        <w:numPr>
          <w:ilvl w:val="0"/>
          <w:numId w:val="1015"/>
        </w:numPr>
        <w:pStyle w:val="Compact"/>
      </w:pPr>
      <w:r>
        <w:rPr>
          <w:bCs/>
          <w:b/>
        </w:rPr>
        <w:t xml:space="preserve">Scope 1 Emissions:</w:t>
      </w:r>
      <w:r>
        <w:t xml:space="preserve"> </w:t>
      </w:r>
      <w:r>
        <w:t xml:space="preserve">0.00 kg CO2e (No direct operational emissions within the defined factory_gate boundary were identified based on provided parameters, assuming manufacturing processes are primarily electricity-driven and no direct fuel combustion on site).</w:t>
      </w:r>
    </w:p>
    <w:p>
      <w:pPr>
        <w:numPr>
          <w:ilvl w:val="0"/>
          <w:numId w:val="1015"/>
        </w:numPr>
        <w:pStyle w:val="Compact"/>
      </w:pPr>
      <w:r>
        <w:rPr>
          <w:bCs/>
          <w:b/>
        </w:rPr>
        <w:t xml:space="preserve">Scope 2 Emissions:</w:t>
      </w:r>
      <w:r>
        <w:t xml:space="preserve"> </w:t>
      </w:r>
      <w:r>
        <w:t xml:space="preserve">21.61 kg CO2e (From purchased electricity for manufacturing).</w:t>
      </w:r>
    </w:p>
    <w:p>
      <w:pPr>
        <w:numPr>
          <w:ilvl w:val="0"/>
          <w:numId w:val="1015"/>
        </w:numPr>
        <w:pStyle w:val="Compact"/>
      </w:pPr>
      <w:r>
        <w:rPr>
          <w:bCs/>
          <w:b/>
        </w:rPr>
        <w:t xml:space="preserve">Scope 3 Emissions:</w:t>
      </w:r>
      <w:r>
        <w:t xml:space="preserve"> </w:t>
      </w:r>
      <w:r>
        <w:t xml:space="preserve">27.57 kg CO2e (From purchased goods and services (materials) and upstream transportation).</w:t>
      </w:r>
    </w:p>
    <w:bookmarkEnd w:id="32"/>
    <w:bookmarkStart w:id="33" w:name="Xd997fe7888ececbb075a24774e3cfabbb608233"/>
    <w:p>
      <w:pPr>
        <w:pStyle w:val="Heading3"/>
      </w:pPr>
      <w:r>
        <w:t xml:space="preserve">5.2. Comprehensive Product Life Cycle Analysis (Beyond Factory Gate)</w:t>
      </w:r>
    </w:p>
    <w:p>
      <w:pPr>
        <w:pStyle w:val="FirstParagraph"/>
      </w:pPr>
      <w:r>
        <w:t xml:space="preserve">To offer a complete picture of the product\'s environmental impact, the downstream use phase and end-of-life impacts are included, acknowledging that these typically fall under Scope 3 for the reporting company and are beyond the strict \'factory_gate\' boundary of the PCF itself.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27.06</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21.612</w:t>
            </w:r>
          </w:p>
        </w:tc>
      </w:tr>
      <w:tr>
        <w:tc>
          <w:tcPr/>
          <w:p>
            <w:pPr>
              <w:pStyle w:val="Compact"/>
              <w:jc w:val="left"/>
            </w:pPr>
            <w:r>
              <w:t xml:space="preserve">Transport (Upstream &amp; to Factory Gate)</w:t>
            </w:r>
          </w:p>
        </w:tc>
        <w:tc>
          <w:tcPr/>
          <w:p>
            <w:pPr>
              <w:pStyle w:val="Compact"/>
              <w:jc w:val="left"/>
            </w:pPr>
            <w:r>
              <w:t xml:space="preserve">Scope 3, Category 4</w:t>
            </w:r>
          </w:p>
        </w:tc>
        <w:tc>
          <w:tcPr/>
          <w:p>
            <w:pPr>
              <w:pStyle w:val="Compact"/>
              <w:jc w:val="left"/>
            </w:pPr>
            <w:r>
              <w:t xml:space="preserve">0.5085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43.75</w:t>
            </w:r>
          </w:p>
        </w:tc>
      </w:tr>
      <w:tr>
        <w:tc>
          <w:tcPr/>
          <w:p>
            <w:pPr>
              <w:pStyle w:val="Compact"/>
              <w:jc w:val="left"/>
            </w:pPr>
            <w:r>
              <w:t xml:space="preserve">End-of-Life (Recycling Credit)</w:t>
            </w:r>
          </w:p>
        </w:tc>
        <w:tc>
          <w:tcPr/>
          <w:p>
            <w:pPr>
              <w:pStyle w:val="Compact"/>
              <w:jc w:val="left"/>
            </w:pPr>
            <w:r>
              <w:t xml:space="preserve">Scope 3, Category 12</w:t>
            </w:r>
          </w:p>
        </w:tc>
        <w:tc>
          <w:tcPr/>
          <w:p>
            <w:pPr>
              <w:pStyle w:val="Compact"/>
              <w:jc w:val="left"/>
            </w:pPr>
            <w:r>
              <w:t xml:space="preserve">-10.1475</w:t>
            </w:r>
          </w:p>
        </w:tc>
      </w:tr>
      <w:tr>
        <w:tc>
          <w:tcPr>
            <w:gridSpan w:val="2"/>
          </w:tcPr>
          <w:p>
            <w:pPr>
              <w:pStyle w:val="Compact"/>
              <w:jc w:val="left"/>
            </w:pPr>
            <w:r>
              <w:rPr>
                <w:bCs/>
                <w:b/>
              </w:rPr>
              <w:t xml:space="preserve">Total Comprehensive Product Life Cycle Footprint (Cradle-to-Grave)</w:t>
            </w:r>
          </w:p>
        </w:tc>
        <w:tc>
          <w:tcPr/>
          <w:p>
            <w:pPr>
              <w:pStyle w:val="Compact"/>
              <w:jc w:val="left"/>
            </w:pPr>
            <w:r>
              <w:rPr>
                <w:bCs/>
                <w:b/>
              </w:rPr>
              <w:t xml:space="preserve">82.78 kg CO2e</w:t>
            </w:r>
          </w:p>
        </w:tc>
      </w:tr>
    </w:tbl>
    <w:p>
      <w:pPr>
        <w:pStyle w:val="BodyText"/>
      </w:pPr>
      <w:r>
        <w:rPr>
          <w:bCs/>
          <w:b/>
        </w:rPr>
        <w:t xml:space="preserve">Overall Scope Breakdown (Cradle-to-Grave Analysis):</w:t>
      </w:r>
    </w:p>
    <w:p>
      <w:pPr>
        <w:numPr>
          <w:ilvl w:val="0"/>
          <w:numId w:val="1016"/>
        </w:numPr>
        <w:pStyle w:val="Compact"/>
      </w:pPr>
      <w:r>
        <w:rPr>
          <w:bCs/>
          <w:b/>
        </w:rPr>
        <w:t xml:space="preserve">Scope 1 Emissions:</w:t>
      </w:r>
      <w:r>
        <w:t xml:space="preserve"> </w:t>
      </w:r>
      <w:r>
        <w:t xml:space="preserve">0.00 kg CO2e</w:t>
      </w:r>
    </w:p>
    <w:p>
      <w:pPr>
        <w:numPr>
          <w:ilvl w:val="0"/>
          <w:numId w:val="1016"/>
        </w:numPr>
        <w:pStyle w:val="Compact"/>
      </w:pPr>
      <w:r>
        <w:rPr>
          <w:bCs/>
          <w:b/>
        </w:rPr>
        <w:t xml:space="preserve">Scope 2 Emissions:</w:t>
      </w:r>
      <w:r>
        <w:t xml:space="preserve"> </w:t>
      </w:r>
      <w:r>
        <w:t xml:space="preserve">21.61 kg CO2e</w:t>
      </w:r>
    </w:p>
    <w:p>
      <w:pPr>
        <w:numPr>
          <w:ilvl w:val="0"/>
          <w:numId w:val="1016"/>
        </w:numPr>
        <w:pStyle w:val="Compact"/>
      </w:pPr>
      <w:r>
        <w:rPr>
          <w:bCs/>
          <w:b/>
        </w:rPr>
        <w:t xml:space="preserve">Scope 3 Emissions:</w:t>
      </w:r>
      <w:r>
        <w:t xml:space="preserve"> </w:t>
      </w:r>
      <w:r>
        <w:t xml:space="preserve">61.17 kg CO2e (Materials, Transport, Use Phase, End-of-Life with credit). This demonstrates a strong focus on Scope 3, aligning with the 95% coverage requirement.</w:t>
      </w:r>
    </w:p>
    <w:p>
      <w:r>
        <w:pict>
          <v:rect style="width:0;height:1.5pt" o:hralign="center" o:hrstd="t" o:hr="t"/>
        </w:pict>
      </w:r>
    </w:p>
    <w:bookmarkEnd w:id="33"/>
    <w:bookmarkEnd w:id="34"/>
    <w:bookmarkStart w:id="38" w:name="review-report---hotspots-and-reliability"/>
    <w:p>
      <w:pPr>
        <w:pStyle w:val="Heading2"/>
      </w:pPr>
      <w:r>
        <w:t xml:space="preserve">6. Review &amp; Report - Hotspots and Reliability</w:t>
      </w:r>
    </w:p>
    <w:bookmarkStart w:id="35" w:name="hotspot-analysis"/>
    <w:p>
      <w:pPr>
        <w:pStyle w:val="Heading3"/>
      </w:pPr>
      <w:r>
        <w:t xml:space="preserve">6.1. Hotspot Analysis</w:t>
      </w:r>
    </w:p>
    <w:p>
      <w:pPr>
        <w:pStyle w:val="FirstParagraph"/>
      </w:pPr>
      <w:r>
        <w:t xml:space="preserve">The analysis reveals the following key emission hotspots for usnxpuwkhw:</w:t>
      </w:r>
    </w:p>
    <w:p>
      <w:pPr>
        <w:numPr>
          <w:ilvl w:val="0"/>
          <w:numId w:val="1017"/>
        </w:numPr>
        <w:pStyle w:val="Compact"/>
      </w:pPr>
      <w:r>
        <w:rPr>
          <w:bCs/>
          <w:b/>
        </w:rPr>
        <w:t xml:space="preserve">Materials Acquisition (Scope 3, Category 1):</w:t>
      </w:r>
      <w:r>
        <w:t xml:space="preserve"> </w:t>
      </w:r>
      <w:r>
        <w:t xml:space="preserve">At 27.06 kg CO2e, the production of raw materials, particularly aluminum and electronic components, represents the largest contributor to the \'factory_gate\' PCF. This underscores the importance of sustainable sourcing and material efficiency.</w:t>
      </w:r>
    </w:p>
    <w:p>
      <w:pPr>
        <w:numPr>
          <w:ilvl w:val="0"/>
          <w:numId w:val="1017"/>
        </w:numPr>
        <w:pStyle w:val="Compact"/>
      </w:pPr>
      <w:r>
        <w:rPr>
          <w:bCs/>
          <w:b/>
        </w:rPr>
        <w:t xml:space="preserve">Use Phase (Scope 3, Category 11):</w:t>
      </w:r>
      <w:r>
        <w:t xml:space="preserve"> </w:t>
      </w:r>
      <w:r>
        <w:t xml:space="preserve">When considering the full life cycle, the energy consumed during the product\'s 7-year lifespan (43.75 kg CO2e) becomes the single largest emission source, emphasizing the need for energy-efficient product design and consumer education on responsible use.</w:t>
      </w:r>
    </w:p>
    <w:p>
      <w:pPr>
        <w:numPr>
          <w:ilvl w:val="0"/>
          <w:numId w:val="1017"/>
        </w:numPr>
        <w:pStyle w:val="Compact"/>
      </w:pPr>
      <w:r>
        <w:rPr>
          <w:bCs/>
          <w:b/>
        </w:rPr>
        <w:t xml:space="preserve">Manufacturing Energy (Scope 2):</w:t>
      </w:r>
      <w:r>
        <w:t xml:space="preserve"> </w:t>
      </w:r>
      <w:r>
        <w:t xml:space="preserve">Despite a high renewable energy usage (70%), the remaining grid electricity still contributes significantly (21.61 kg CO2e) due to China\'s grid mix emission factor. Further decarbonization of the manufacturing energy supply is crucial.</w:t>
      </w:r>
    </w:p>
    <w:bookmarkEnd w:id="35"/>
    <w:bookmarkStart w:id="36" w:name="data-reliability-and-assumptions"/>
    <w:p>
      <w:pPr>
        <w:pStyle w:val="Heading3"/>
      </w:pPr>
      <w:r>
        <w:t xml:space="preserve">6.2. Data Reliability and Assumptions</w:t>
      </w:r>
    </w:p>
    <w:p>
      <w:pPr>
        <w:pStyle w:val="FirstParagraph"/>
      </w:pPr>
      <w:r>
        <w:t xml:space="preserve">This report utilized a blend of specific and illustrative data due to the placeholder nature of some input parameters:</w:t>
      </w:r>
    </w:p>
    <w:p>
      <w:pPr>
        <w:numPr>
          <w:ilvl w:val="0"/>
          <w:numId w:val="1018"/>
        </w:numPr>
        <w:pStyle w:val="Compact"/>
      </w:pPr>
      <w:r>
        <w:rPr>
          <w:bCs/>
          <w:b/>
        </w:rPr>
        <w:t xml:space="preserve">BOM Data:</w:t>
      </w:r>
      <w:r>
        <w:t xml:space="preserve"> </w:t>
      </w:r>
      <w:r>
        <w:t xml:space="preserve">While the BOM structure allowed for detailed calculation, the specific values for materials, their quantities, emission factors, and total carbon were illustrative examples as the input `wfkqzfuw` was a generic string. Higher accuracy would be achieved with supplier-specific primary data.</w:t>
      </w:r>
    </w:p>
    <w:p>
      <w:pPr>
        <w:numPr>
          <w:ilvl w:val="0"/>
          <w:numId w:val="1018"/>
        </w:numPr>
        <w:pStyle w:val="Compact"/>
      </w:pPr>
      <w:r>
        <w:rPr>
          <w:bCs/>
          <w:b/>
        </w:rPr>
        <w:t xml:space="preserve">Transport Data:</w:t>
      </w:r>
      <w:r>
        <w:t xml:space="preserve"> </w:t>
      </w:r>
      <w:r>
        <w:t xml:space="preserve">Generic modes ("Road Freight," "Parcel Van Delivery") and an assumed distance (`wowjxpnjhn` as 1500 km) were used. Actual transport modes, distances for each leg, and vehicle-specific emission factors would enhance precision.</w:t>
      </w:r>
    </w:p>
    <w:p>
      <w:pPr>
        <w:numPr>
          <w:ilvl w:val="0"/>
          <w:numId w:val="1018"/>
        </w:numPr>
        <w:pStyle w:val="Compact"/>
      </w:pPr>
      <w:r>
        <w:rPr>
          <w:bCs/>
          <w:b/>
        </w:rPr>
        <w:t xml:space="preserve">Energy Data:</w:t>
      </w:r>
      <w:r>
        <w:t xml:space="preserve"> </w:t>
      </w:r>
      <w:r>
        <w:t xml:space="preserve">Assumed values for energy intensity (`yxhytpzkxm` as 120 kWh/unit) and renewable energy usage (`qknkiqrteh` as 70%) were used. Regional grid electricity emission factors for China and a generic EU mix for the use phase were applied based on publicly available data, which provides a good approximation.</w:t>
      </w:r>
    </w:p>
    <w:p>
      <w:pPr>
        <w:numPr>
          <w:ilvl w:val="0"/>
          <w:numId w:val="1018"/>
        </w:numPr>
        <w:pStyle w:val="Compact"/>
      </w:pPr>
      <w:r>
        <w:rPr>
          <w:bCs/>
          <w:b/>
        </w:rPr>
        <w:t xml:space="preserve">Use Phase Data:</w:t>
      </w:r>
      <w:r>
        <w:t xml:space="preserve"> </w:t>
      </w:r>
      <w:r>
        <w:t xml:space="preserve">Assumed lifespan (`tduhfdjjou` as 7 years) and energy consumption (`rpodeupwyp` as 25 kWh/year) were used. Real-world usage patterns and regional grid mixes for the actual consumer base would improve accuracy.</w:t>
      </w:r>
    </w:p>
    <w:p>
      <w:pPr>
        <w:numPr>
          <w:ilvl w:val="0"/>
          <w:numId w:val="1018"/>
        </w:numPr>
        <w:pStyle w:val="Compact"/>
      </w:pPr>
      <w:r>
        <w:rPr>
          <w:bCs/>
          <w:b/>
        </w:rPr>
        <w:t xml:space="preserve">End-of-Life Data:</w:t>
      </w:r>
      <w:r>
        <w:t xml:space="preserve"> </w:t>
      </w:r>
      <w:r>
        <w:t xml:space="preserve">The recyclability percentage (`kltdirytud` as 75%) was an assumption, and the recycling credit methodology applied is a common approximation. Actual recycling rates and the emissions profile of end-of-life processes would refine these figures.</w:t>
      </w:r>
    </w:p>
    <w:p>
      <w:pPr>
        <w:pStyle w:val="FirstParagraph"/>
      </w:pPr>
      <w:r>
        <w:t xml:space="preserve">The 2026 GHG Protocol Scope 3 updates emphasize mandatory data disaggregation by source type (primary vs. secondary) to improve data quality and comparability. Future analyses for zpziywszvm should prioritize collecting primary, supplier-specific data to meet these evolving requirements and enhance the audit readiness of reported figures.</w:t>
      </w:r>
    </w:p>
    <w:bookmarkEnd w:id="36"/>
    <w:bookmarkStart w:id="37" w:name="recommendations-for-reduction"/>
    <w:p>
      <w:pPr>
        <w:pStyle w:val="Heading3"/>
      </w:pPr>
      <w:r>
        <w:t xml:space="preserve">6.3. Recommendations for Reduction</w:t>
      </w:r>
    </w:p>
    <w:p>
      <w:pPr>
        <w:pStyle w:val="FirstParagraph"/>
      </w:pPr>
      <w:r>
        <w:t xml:space="preserve">Based on this PCF analysis, zpziywszvm should focus its decarbonization efforts on the following areas:</w:t>
      </w:r>
    </w:p>
    <w:p>
      <w:pPr>
        <w:numPr>
          <w:ilvl w:val="0"/>
          <w:numId w:val="1019"/>
        </w:numPr>
        <w:pStyle w:val="Compact"/>
      </w:pPr>
      <w:r>
        <w:rPr>
          <w:bCs/>
          <w:b/>
        </w:rPr>
        <w:t xml:space="preserve">Material Optimization:</w:t>
      </w:r>
      <w:r>
        <w:t xml:space="preserve"> </w:t>
      </w:r>
      <w:r>
        <w:t xml:space="preserve">Explore alternative, lower-carbon materials for the aluminum casing and electronic components. Engage with suppliers to obtain primary emission data and identify opportunities for material efficiency and increased use of recycled content.</w:t>
      </w:r>
    </w:p>
    <w:p>
      <w:pPr>
        <w:numPr>
          <w:ilvl w:val="0"/>
          <w:numId w:val="1019"/>
        </w:numPr>
        <w:pStyle w:val="Compact"/>
      </w:pPr>
      <w:r>
        <w:rPr>
          <w:bCs/>
          <w:b/>
        </w:rPr>
        <w:t xml:space="preserve">Energy Efficiency in Use Phase:</w:t>
      </w:r>
      <w:r>
        <w:t xml:space="preserve"> </w:t>
      </w:r>
      <w:r>
        <w:t xml:space="preserve">Invest in R&amp;D to enhance the energy efficiency of usnxpuwkhw during its operational lifespan. Provide clear guidance to consumers on energy-saving practices.</w:t>
      </w:r>
    </w:p>
    <w:p>
      <w:pPr>
        <w:numPr>
          <w:ilvl w:val="0"/>
          <w:numId w:val="1019"/>
        </w:numPr>
        <w:pStyle w:val="Compact"/>
      </w:pPr>
      <w:r>
        <w:rPr>
          <w:bCs/>
          <w:b/>
        </w:rPr>
        <w:t xml:space="preserve">Renewable Energy Sourcing:</w:t>
      </w:r>
      <w:r>
        <w:t xml:space="preserve"> </w:t>
      </w:r>
      <w:r>
        <w:t xml:space="preserve">While 70% renewable energy usage is commendable, aim for 100% renewable energy in manufacturing operations, potentially through Power Purchase Agreements (PPAs) or on-site generation in China, to further reduce Scope 2 emissions.</w:t>
      </w:r>
    </w:p>
    <w:p>
      <w:pPr>
        <w:numPr>
          <w:ilvl w:val="0"/>
          <w:numId w:val="1019"/>
        </w:numPr>
        <w:pStyle w:val="Compact"/>
      </w:pPr>
      <w:r>
        <w:rPr>
          <w:bCs/>
          <w:b/>
        </w:rPr>
        <w:t xml:space="preserve">Supply Chain Engagement:</w:t>
      </w:r>
      <w:r>
        <w:t xml:space="preserve"> </w:t>
      </w:r>
      <w:r>
        <w:t xml:space="preserve">Work closely with upstream logistics providers to optimize routes, explore lower-emission transport modes (e.g., rail or sea where feasible for longer distances), and gather more precise transport data.</w:t>
      </w:r>
    </w:p>
    <w:p>
      <w:pPr>
        <w:numPr>
          <w:ilvl w:val="0"/>
          <w:numId w:val="1019"/>
        </w:numPr>
        <w:pStyle w:val="Compact"/>
      </w:pPr>
      <w:r>
        <w:rPr>
          <w:bCs/>
          <w:b/>
        </w:rPr>
        <w:t xml:space="preserve">Circular Economy Initiatives:</w:t>
      </w:r>
      <w:r>
        <w:t xml:space="preserve"> </w:t>
      </w:r>
      <w:r>
        <w:t xml:space="preserve">Expand and promote the established product take-back program (`jgihqitfui`) to maximize refurbishment, reuse, and high-quality recycling, further increasing the positive impact of End-of-Life scenarios.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usnxpuwkhw</dc:title>
  <dc:creator/>
  <dc:description>High-detail Product Carbon Footprint (PCF) analysis report for usnxpuwkhw, adhering to GHG Protocol standards and 2026 updates, conducted by Senior Sustainability Consultant myxedgjwqo for zpziywszvm.</dc:description>
  <dc:language>en</dc:language>
  <cp:keywords/>
  <dcterms:created xsi:type="dcterms:W3CDTF">2026-07-15T09:32:34Z</dcterms:created>
  <dcterms:modified xsi:type="dcterms:W3CDTF">2026-07-15T09:32:34Z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