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ushydsddxe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ushydsddxe</w:t>
      </w:r>
    </w:p>
    <w:p>
      <w:pPr>
        <w:pStyle w:val="BodyText"/>
      </w:pPr>
      <w:r>
        <w:rPr>
          <w:bCs/>
          <w:b/>
        </w:rPr>
        <w:t xml:space="preserve">Company:</w:t>
      </w:r>
      <w:r>
        <w:t xml:space="preserve"> </w:t>
      </w:r>
      <w:r>
        <w:t xml:space="preserve">tixkelqvnw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ssjhllujfh</w:t>
      </w:r>
    </w:p>
    <w:p>
      <w:pPr>
        <w:pStyle w:val="BodyText"/>
      </w:pPr>
      <w:r>
        <w:t xml:space="preserve">Disclaimer: This report is generated based on available data, provided parameters, and industry standards. Actual emissions may vary based on precise, real-time operational data.</w:t>
      </w:r>
    </w:p>
    <w:bookmarkEnd w:id="20"/>
    <w:bookmarkStart w:id="21" w:name="Xce549397d0070ecfb7624eba67cf3fcb8dc29d7"/>
    <w:p>
      <w:pPr>
        <w:pStyle w:val="Heading1"/>
      </w:pPr>
      <w:r>
        <w:t xml:space="preserve">Product Carbon Footprint Analysis Report: ushydsddxe</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"ushydsddxe," manufactured by "tixkelqvnw." The assessment was conducted by Senior Sustainability Consultant ssjhllujfh, adhering strictly to the GHG Protocol. The analysis covers the entire lifecycle from raw material acquisition (cradle-to-gate for materials) through manufacturing, transport, use, and end-of-life phases, with a functional unit of 1.0 unit of ushydsddxe. Special attention has been given to the 2026 Land Sector and Removals (LSR) Standard updates and achieving at least 95% Scope 3 coverage.</w:t>
      </w:r>
    </w:p>
    <w:p>
      <w:pPr>
        <w:pStyle w:val="BodyText"/>
      </w:pPr>
      <w:r>
        <w:t xml:space="preserve">The total estimated carbon footprint for one functional unit of ushydsddxe is **27.69 kgCO2e**. The primary emission hotspots are identified within the Use Phase due to energy consumption, followed by the Material Acquisition &amp; Processing, and Manufacturing stages. Upstream and downstream transportation also contribute significantly. The incorporation of circular economy principles through high recyclability and take-back programs plays a crucial role in mitigating the overall footprint, resulting in a significant negative (avoided) emission impact at End-of-Life.</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This Product Carbon Footprint (PCF) analysis follows the five-step methodology:</w:t>
      </w:r>
    </w:p>
    <w:p>
      <w:pPr>
        <w:numPr>
          <w:ilvl w:val="0"/>
          <w:numId w:val="1001"/>
        </w:numPr>
        <w:pStyle w:val="Compact"/>
      </w:pPr>
      <w:r>
        <w:t xml:space="preserve">Define Scope</w:t>
      </w:r>
    </w:p>
    <w:p>
      <w:pPr>
        <w:numPr>
          <w:ilvl w:val="0"/>
          <w:numId w:val="1001"/>
        </w:numPr>
        <w:pStyle w:val="Compact"/>
      </w:pPr>
      <w:r>
        <w:t xml:space="preserve">Map Lifecycle</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3" w:name="accounting-standard"/>
    <w:p>
      <w:pPr>
        <w:pStyle w:val="Heading3"/>
      </w:pPr>
      <w:r>
        <w:t xml:space="preserve">2.1. Accounting Standard</w:t>
      </w:r>
    </w:p>
    <w:p>
      <w:pPr>
        <w:pStyle w:val="FirstParagraph"/>
      </w:pPr>
      <w:r>
        <w:t xml:space="preserve">The analysis strictly adheres to the Greenhouse Gas Protocol (GHG Protocol), categorizing emissions into Scope 1 (direct emissions), Scope 2 (indirect emissions from purchased energy), and Scope 3 (all other indirect emissions in the value chain).</w:t>
      </w:r>
    </w:p>
    <w:bookmarkEnd w:id="23"/>
    <w:bookmarkStart w:id="24" w:name="functional-unit"/>
    <w:p>
      <w:pPr>
        <w:pStyle w:val="Heading3"/>
      </w:pPr>
      <w:r>
        <w:t xml:space="preserve">2.2. Functional Unit</w:t>
      </w:r>
    </w:p>
    <w:p>
      <w:pPr>
        <w:pStyle w:val="FirstParagraph"/>
      </w:pPr>
      <w:r>
        <w:t xml:space="preserve">The functional unit for this PCF study is defined as:</w:t>
      </w:r>
      <w:r>
        <w:t xml:space="preserve"> </w:t>
      </w:r>
      <w:r>
        <w:rPr>
          <w:bCs/>
          <w:b/>
        </w:rPr>
        <w:t xml:space="preserve">1.0 unit of ushydsddxe</w:t>
      </w:r>
      <w:r>
        <w:t xml:space="preserve">.</w:t>
      </w:r>
    </w:p>
    <w:bookmarkEnd w:id="24"/>
    <w:bookmarkStart w:id="25" w:name="system-boundary"/>
    <w:p>
      <w:pPr>
        <w:pStyle w:val="Heading3"/>
      </w:pPr>
      <w:r>
        <w:t xml:space="preserve">2.3. System Boundary</w:t>
      </w:r>
    </w:p>
    <w:p>
      <w:pPr>
        <w:pStyle w:val="FirstParagraph"/>
      </w:pPr>
      <w:r>
        <w:t xml:space="preserve">The system boundary for this analysis is "factory_gate" for the manufacturing process, but extends to include upstream (raw material extraction and processing, inbound transport) and downstream (product distribution, use phase, and end-of-life) impacts to provide a comprehensive "cradle-to-grave" assessment.</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Product Use Location:</w:t>
      </w:r>
      <w:r>
        <w:t xml:space="preserve"> </w:t>
      </w:r>
      <w:r>
        <w:t xml:space="preserve">Assumed to be primarily in Europe.</w:t>
      </w:r>
    </w:p>
    <w:bookmarkEnd w:id="26"/>
    <w:bookmarkStart w:id="27" w:name="allocation"/>
    <w:p>
      <w:pPr>
        <w:pStyle w:val="Heading3"/>
      </w:pPr>
      <w:r>
        <w:t xml:space="preserve">2.5. Allocation</w:t>
      </w:r>
    </w:p>
    <w:p>
      <w:pPr>
        <w:pStyle w:val="FirstParagraph"/>
      </w:pPr>
      <w:r>
        <w:t xml:space="preserve">Emissions have been allocated to the functional unit based on mass and energy consumption. For End-of-Life scenarios, avoided emissions from recycling and material recovery programs are calculated based on the displacement of virgin materials.</w:t>
      </w:r>
    </w:p>
    <w:p>
      <w:r>
        <w:pict>
          <v:rect style="width:0;height:1.5pt" o:hralign="center" o:hrstd="t" o:hr="t"/>
        </w:pict>
      </w:r>
    </w:p>
    <w:bookmarkEnd w:id="27"/>
    <w:bookmarkEnd w:id="28"/>
    <w:bookmarkStart w:id="34" w:name="X35745a8e252718d5a0d40cb3fbfce10aee0336d"/>
    <w:p>
      <w:pPr>
        <w:pStyle w:val="Heading2"/>
      </w:pPr>
      <w:r>
        <w:t xml:space="preserve">3. Lifecycle Mapping (LCI Inventory Stages) &amp; Data Collection</w:t>
      </w:r>
    </w:p>
    <w:p>
      <w:pPr>
        <w:pStyle w:val="FirstParagraph"/>
      </w:pPr>
      <w:r>
        <w:t xml:space="preserve">The lifecycle of ushydsddxe is mapped across five key stages:</w:t>
      </w:r>
    </w:p>
    <w:p>
      <w:pPr>
        <w:numPr>
          <w:ilvl w:val="0"/>
          <w:numId w:val="1003"/>
        </w:numPr>
        <w:pStyle w:val="Compact"/>
      </w:pPr>
      <w:r>
        <w:rPr>
          <w:bCs/>
          <w:b/>
        </w:rPr>
        <w:t xml:space="preserve">Material Acquisition &amp; Pre-processing:</w:t>
      </w:r>
      <w:r>
        <w:t xml:space="preserve"> </w:t>
      </w:r>
      <w:r>
        <w:t xml:space="preserve">Covers the extraction, refining, and production of all raw materials and components detailed in the Bill of Materials (BOM).</w:t>
      </w:r>
    </w:p>
    <w:p>
      <w:pPr>
        <w:numPr>
          <w:ilvl w:val="0"/>
          <w:numId w:val="1003"/>
        </w:numPr>
        <w:pStyle w:val="Compact"/>
      </w:pPr>
      <w:r>
        <w:rPr>
          <w:bCs/>
          <w:b/>
        </w:rPr>
        <w:t xml:space="preserve">Manufacturing:</w:t>
      </w:r>
      <w:r>
        <w:t xml:space="preserve"> </w:t>
      </w:r>
      <w:r>
        <w:t xml:space="preserve">Includes energy consumed at the production facility in China for assembling and processing ushydsddxe.</w:t>
      </w:r>
    </w:p>
    <w:p>
      <w:pPr>
        <w:numPr>
          <w:ilvl w:val="0"/>
          <w:numId w:val="1003"/>
        </w:numPr>
        <w:pStyle w:val="Compact"/>
      </w:pPr>
      <w:r>
        <w:rPr>
          <w:bCs/>
          <w:b/>
        </w:rPr>
        <w:t xml:space="preserve">Transportation:</w:t>
      </w:r>
      <w:r>
        <w:t xml:space="preserve"> </w:t>
      </w:r>
      <w:r>
        <w:t xml:space="preserve">Encompasses inbound logistics for raw materials/components to the factory in China, and downstream logistics from the factory to the end-consumer in Europe.</w:t>
      </w:r>
    </w:p>
    <w:p>
      <w:pPr>
        <w:numPr>
          <w:ilvl w:val="0"/>
          <w:numId w:val="1003"/>
        </w:numPr>
        <w:pStyle w:val="Compact"/>
      </w:pPr>
      <w:r>
        <w:rPr>
          <w:bCs/>
          <w:b/>
        </w:rPr>
        <w:t xml:space="preserve">Use Phase:</w:t>
      </w:r>
      <w:r>
        <w:t xml:space="preserve"> </w:t>
      </w:r>
      <w:r>
        <w:t xml:space="preserve">Accounts for energy consumption during the estimated lifespan of the product.</w:t>
      </w:r>
    </w:p>
    <w:p>
      <w:pPr>
        <w:numPr>
          <w:ilvl w:val="0"/>
          <w:numId w:val="1003"/>
        </w:numPr>
        <w:pStyle w:val="Compact"/>
      </w:pPr>
      <w:r>
        <w:rPr>
          <w:bCs/>
          <w:b/>
        </w:rPr>
        <w:t xml:space="preserve">End-of-Life (EoL):</w:t>
      </w:r>
      <w:r>
        <w:t xml:space="preserve"> </w:t>
      </w:r>
      <w:r>
        <w:t xml:space="preserve">Addresses emissions or avoided emissions from disposal, recycling, and circular economy programs.</w:t>
      </w:r>
    </w:p>
    <w:bookmarkStart w:id="29" w:name="Xe1d62e5b0dcb7db14b4ed37076df7d9ac37f5c1"/>
    <w:p>
      <w:pPr>
        <w:pStyle w:val="Heading3"/>
      </w:pPr>
      <w:r>
        <w:t xml:space="preserve">3.1. Detailed Bill of Materials (BOM) - xveurpjg</w:t>
      </w:r>
    </w:p>
    <w:p>
      <w:pPr>
        <w:pStyle w:val="FirstParagraph"/>
      </w:pPr>
      <w:r>
        <w:t xml:space="preserve">The following table details the Bill of Materials for ushydsddxe, including quantities, units, and associated emission factors and total carbon for each component. These values form the basis for the Material Acquisition &amp; Pre-processing footprint (primarily Scope 3 Upstream).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Primary Smelting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14.0</w:t>
            </w:r>
          </w:p>
        </w:tc>
        <w:tc>
          <w:tcPr/>
          <w:p>
            <w:pPr>
              <w:pStyle w:val="Compact"/>
              <w:jc w:val="left"/>
            </w:pPr>
            <w:r>
              <w:t xml:space="preserve">1.12</w:t>
            </w:r>
          </w:p>
        </w:tc>
      </w:tr>
      <w:tr>
        <w:tc>
          <w:tcPr/>
          <w:p>
            <w:pPr>
              <w:pStyle w:val="Compact"/>
              <w:jc w:val="left"/>
            </w:pPr>
            <w:r>
              <w:t xml:space="preserve">M002</w:t>
            </w:r>
          </w:p>
        </w:tc>
        <w:tc>
          <w:tcPr/>
          <w:p>
            <w:pPr>
              <w:pStyle w:val="Compact"/>
              <w:jc w:val="left"/>
            </w:pPr>
            <w:r>
              <w:t xml:space="preserve">Circuit Board (Main)</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4.0</w:t>
            </w:r>
          </w:p>
        </w:tc>
        <w:tc>
          <w:tcPr/>
          <w:p>
            <w:pPr>
              <w:pStyle w:val="Compact"/>
              <w:jc w:val="left"/>
            </w:pPr>
            <w:r>
              <w:t xml:space="preserve">4.00</w:t>
            </w:r>
          </w:p>
        </w:tc>
      </w:tr>
      <w:tr>
        <w:tc>
          <w:tcPr/>
          <w:p>
            <w:pPr>
              <w:pStyle w:val="Compact"/>
              <w:jc w:val="left"/>
            </w:pPr>
            <w:r>
              <w:t xml:space="preserve">M004</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3.1</w:t>
            </w:r>
          </w:p>
        </w:tc>
        <w:tc>
          <w:tcPr/>
          <w:p>
            <w:pPr>
              <w:pStyle w:val="Compact"/>
              <w:jc w:val="left"/>
            </w:pPr>
            <w:r>
              <w:t xml:space="preserve">0.155</w:t>
            </w:r>
          </w:p>
        </w:tc>
      </w:tr>
      <w:tr>
        <w:tc>
          <w:tcPr/>
          <w:p>
            <w:pPr>
              <w:pStyle w:val="Compact"/>
              <w:jc w:val="left"/>
            </w:pPr>
            <w:r>
              <w:t xml:space="preserve">M005</w:t>
            </w:r>
          </w:p>
        </w:tc>
        <w:tc>
          <w:tcPr/>
          <w:p>
            <w:pPr>
              <w:pStyle w:val="Compact"/>
              <w:jc w:val="left"/>
            </w:pPr>
            <w:r>
              <w:t xml:space="preserve">Glass Display Panel</w:t>
            </w:r>
          </w:p>
        </w:tc>
        <w:tc>
          <w:tcPr/>
          <w:p>
            <w:pPr>
              <w:pStyle w:val="Compact"/>
              <w:jc w:val="left"/>
            </w:pPr>
            <w:r>
              <w:t xml:space="preserve">Glass &amp; Ceramics</w:t>
            </w:r>
          </w:p>
        </w:tc>
        <w:tc>
          <w:tcPr/>
          <w:p>
            <w:pPr>
              <w:pStyle w:val="Compact"/>
              <w:jc w:val="left"/>
            </w:pPr>
            <w:r>
              <w:t xml:space="preserve">Float Glass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0.9</w:t>
            </w:r>
          </w:p>
        </w:tc>
        <w:tc>
          <w:tcPr/>
          <w:p>
            <w:pPr>
              <w:pStyle w:val="Compact"/>
              <w:jc w:val="left"/>
            </w:pPr>
            <w:r>
              <w:t xml:space="preserve">0.027</w:t>
            </w:r>
          </w:p>
        </w:tc>
      </w:tr>
      <w:tr>
        <w:tc>
          <w:tcPr/>
          <w:p>
            <w:pPr>
              <w:pStyle w:val="Compact"/>
              <w:jc w:val="left"/>
            </w:pPr>
            <w:r>
              <w:t xml:space="preserve">M006</w:t>
            </w:r>
          </w:p>
        </w:tc>
        <w:tc>
          <w:tcPr/>
          <w:p>
            <w:pPr>
              <w:pStyle w:val="Compact"/>
              <w:jc w:val="left"/>
            </w:pPr>
            <w:r>
              <w:t xml:space="preserve">Copper Wire &amp; Connectors</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3.8</w:t>
            </w:r>
          </w:p>
        </w:tc>
        <w:tc>
          <w:tcPr/>
          <w:p>
            <w:pPr>
              <w:pStyle w:val="Compact"/>
              <w:jc w:val="left"/>
            </w:pPr>
            <w:r>
              <w:t xml:space="preserve">0.019</w:t>
            </w:r>
          </w:p>
        </w:tc>
      </w:tr>
      <w:tr>
        <w:tc>
          <w:tcPr/>
          <w:p>
            <w:pPr>
              <w:pStyle w:val="Compact"/>
              <w:jc w:val="left"/>
            </w:pPr>
            <w:r>
              <w:t xml:space="preserve">M007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M008</w:t>
            </w:r>
          </w:p>
        </w:tc>
        <w:tc>
          <w:tcPr/>
          <w:p>
            <w:pPr>
              <w:pStyle w:val="Compact"/>
              <w:jc w:val="left"/>
            </w:pPr>
            <w:r>
              <w:t xml:space="preserve">Adhesives &amp; Sealants</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0.005</w:t>
            </w:r>
          </w:p>
        </w:tc>
      </w:tr>
      <w:tr>
        <w:tc>
          <w:tcPr/>
          <w:p>
            <w:pPr>
              <w:pStyle w:val="Compact"/>
              <w:jc w:val="left"/>
            </w:pPr>
            <w:r>
              <w:t xml:space="preserve">M009</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Recycled Paper Production</w:t>
            </w:r>
          </w:p>
        </w:tc>
        <w:tc>
          <w:tcPr/>
          <w:p>
            <w:pPr>
              <w:pStyle w:val="Compact"/>
              <w:jc w:val="left"/>
            </w:pPr>
            <w:r>
              <w:t xml:space="preserve">0.06</w:t>
            </w:r>
          </w:p>
        </w:tc>
        <w:tc>
          <w:tcPr/>
          <w:p>
            <w:pPr>
              <w:pStyle w:val="Compact"/>
              <w:jc w:val="left"/>
            </w:pPr>
            <w:r>
              <w:t xml:space="preserve">kg</w:t>
            </w:r>
          </w:p>
        </w:tc>
        <w:tc>
          <w:tcPr/>
          <w:p>
            <w:pPr>
              <w:pStyle w:val="Compact"/>
              <w:jc w:val="left"/>
            </w:pPr>
            <w:r>
              <w:t xml:space="preserve">0.6</w:t>
            </w:r>
          </w:p>
        </w:tc>
        <w:tc>
          <w:tcPr/>
          <w:p>
            <w:pPr>
              <w:pStyle w:val="Compact"/>
              <w:jc w:val="left"/>
            </w:pPr>
            <w:r>
              <w:t xml:space="preserve">0.036</w:t>
            </w:r>
          </w:p>
        </w:tc>
      </w:tr>
      <w:tr>
        <w:tc>
          <w:tcPr/>
          <w:p>
            <w:pPr>
              <w:pStyle w:val="Compact"/>
              <w:jc w:val="left"/>
            </w:pPr>
            <w:r>
              <w:t xml:space="preserve">M010</w:t>
            </w:r>
          </w:p>
        </w:tc>
        <w:tc>
          <w:tcPr/>
          <w:p>
            <w:pPr>
              <w:pStyle w:val="Compact"/>
              <w:jc w:val="left"/>
            </w:pPr>
            <w:r>
              <w:t xml:space="preserve">Biodegradable Plastic Film</w:t>
            </w:r>
          </w:p>
        </w:tc>
        <w:tc>
          <w:tcPr/>
          <w:p>
            <w:pPr>
              <w:pStyle w:val="Compact"/>
              <w:jc w:val="left"/>
            </w:pPr>
            <w:r>
              <w:t xml:space="preserve">Packaging</w:t>
            </w:r>
          </w:p>
        </w:tc>
        <w:tc>
          <w:tcPr/>
          <w:p>
            <w:pPr>
              <w:pStyle w:val="Compact"/>
              <w:jc w:val="left"/>
            </w:pPr>
            <w:r>
              <w:t xml:space="preserve">Bioplastic Production</w:t>
            </w:r>
          </w:p>
        </w:tc>
        <w:tc>
          <w:tcPr/>
          <w:p>
            <w:pPr>
              <w:pStyle w:val="Compact"/>
              <w:jc w:val="left"/>
            </w:pPr>
            <w:r>
              <w:t xml:space="preserve">0.002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0.003</w:t>
            </w:r>
          </w:p>
        </w:tc>
      </w:tr>
      <w:tr>
        <w:tc>
          <w:tcPr>
            <w:gridSpan w:val="7"/>
          </w:tcPr>
          <w:p>
            <w:pPr>
              <w:pStyle w:val="Compact"/>
              <w:jc w:val="right"/>
            </w:pPr>
            <w:r>
              <w:t xml:space="preserve">Total Material Carbon Footprint:</w:t>
            </w:r>
          </w:p>
        </w:tc>
        <w:tc>
          <w:tcPr/>
          <w:p>
            <w:pPr>
              <w:pStyle w:val="Compact"/>
              <w:jc w:val="left"/>
            </w:pPr>
            <w:r>
              <w:t xml:space="preserve">20.765</w:t>
            </w:r>
          </w:p>
        </w:tc>
      </w:tr>
    </w:tbl>
    <w:bookmarkEnd w:id="29"/>
    <w:bookmarkStart w:id="30" w:name="energy-inputs-for-production"/>
    <w:p>
      <w:pPr>
        <w:pStyle w:val="Heading3"/>
      </w:pPr>
      <w:r>
        <w:t xml:space="preserve">3.2. Energy Inputs for Production</w:t>
      </w:r>
    </w:p>
    <w:p>
      <w:pPr>
        <w:numPr>
          <w:ilvl w:val="0"/>
          <w:numId w:val="1004"/>
        </w:numPr>
        <w:pStyle w:val="Compact"/>
      </w:pPr>
      <w:r>
        <w:rPr>
          <w:bCs/>
          <w:b/>
        </w:rPr>
        <w:t xml:space="preserve">Energy Intensity (kWh/unit):</w:t>
      </w:r>
      <w:r>
        <w:t xml:space="preserve"> </w:t>
      </w:r>
      <w:r>
        <w:t xml:space="preserve">nupoewthkl = 8.5 kWh/unit</w:t>
      </w:r>
    </w:p>
    <w:p>
      <w:pPr>
        <w:numPr>
          <w:ilvl w:val="0"/>
          <w:numId w:val="1004"/>
        </w:numPr>
        <w:pStyle w:val="Compact"/>
      </w:pPr>
      <w:r>
        <w:rPr>
          <w:bCs/>
          <w:b/>
        </w:rPr>
        <w:t xml:space="preserve">Renewable Energy Usage:</w:t>
      </w:r>
      <w:r>
        <w:t xml:space="preserve"> </w:t>
      </w:r>
      <w:r>
        <w:t xml:space="preserve">dgohmhsfyq = 35%</w:t>
      </w:r>
    </w:p>
    <w:p>
      <w:pPr>
        <w:numPr>
          <w:ilvl w:val="0"/>
          <w:numId w:val="1004"/>
        </w:numPr>
        <w:pStyle w:val="Compact"/>
      </w:pPr>
      <w:r>
        <w:rPr>
          <w:bCs/>
          <w:b/>
        </w:rPr>
        <w:t xml:space="preserve">Non-renewable energy share:</w:t>
      </w:r>
      <w:r>
        <w:t xml:space="preserve"> </w:t>
      </w:r>
      <w:r>
        <w:t xml:space="preserve">65%</w:t>
      </w:r>
    </w:p>
    <w:p>
      <w:pPr>
        <w:numPr>
          <w:ilvl w:val="0"/>
          <w:numId w:val="1004"/>
        </w:numPr>
        <w:pStyle w:val="Compact"/>
      </w:pPr>
      <w:r>
        <w:rPr>
          <w:bCs/>
          <w:b/>
        </w:rPr>
        <w:t xml:space="preserve">China Grid Emission Factor:</w:t>
      </w:r>
      <w:r>
        <w:t xml:space="preserve"> </w:t>
      </w:r>
      <w:r>
        <w:t xml:space="preserve">0.61 kgCO2e/kWh</w:t>
      </w:r>
    </w:p>
    <w:bookmarkEnd w:id="30"/>
    <w:bookmarkStart w:id="31" w:name="logistics-data"/>
    <w:p>
      <w:pPr>
        <w:pStyle w:val="Heading3"/>
      </w:pPr>
      <w:r>
        <w:t xml:space="preserve">3.3. Logistics Data</w:t>
      </w:r>
    </w:p>
    <w:p>
      <w:pPr>
        <w:numPr>
          <w:ilvl w:val="0"/>
          <w:numId w:val="1005"/>
        </w:numPr>
        <w:pStyle w:val="Compact"/>
      </w:pPr>
      <w:r>
        <w:rPr>
          <w:bCs/>
          <w:b/>
        </w:rPr>
        <w:t xml:space="preserve">Product Weight (per unit):</w:t>
      </w:r>
      <w:r>
        <w:t xml:space="preserve"> </w:t>
      </w:r>
      <w:r>
        <w:t xml:space="preserve">~0.448 kg (calculated based on BOM components)</w:t>
      </w:r>
    </w:p>
    <w:p>
      <w:pPr>
        <w:numPr>
          <w:ilvl w:val="0"/>
          <w:numId w:val="1005"/>
        </w:numPr>
        <w:pStyle w:val="Compact"/>
      </w:pPr>
      <w:r>
        <w:rPr>
          <w:bCs/>
          <w:b/>
        </w:rPr>
        <w:t xml:space="preserve">Main Transport Mode (China to Europe):</w:t>
      </w:r>
      <w:r>
        <w:t xml:space="preserve"> </w:t>
      </w:r>
      <w:r>
        <w:t xml:space="preserve">Select Mode = Ocean Freight (Container Ship)</w:t>
      </w:r>
    </w:p>
    <w:p>
      <w:pPr>
        <w:numPr>
          <w:ilvl w:val="0"/>
          <w:numId w:val="1005"/>
        </w:numPr>
        <w:pStyle w:val="Compact"/>
      </w:pPr>
      <w:r>
        <w:rPr>
          <w:bCs/>
          <w:b/>
        </w:rPr>
        <w:t xml:space="preserve">Main Transport Distance (China to Europe):</w:t>
      </w:r>
      <w:r>
        <w:t xml:space="preserve"> </w:t>
      </w:r>
      <w:r>
        <w:t xml:space="preserve">ssihluutrh = 20,000 km</w:t>
      </w:r>
    </w:p>
    <w:p>
      <w:pPr>
        <w:numPr>
          <w:ilvl w:val="0"/>
          <w:numId w:val="1005"/>
        </w:numPr>
        <w:pStyle w:val="Compact"/>
      </w:pPr>
      <w:r>
        <w:rPr>
          <w:bCs/>
          <w:b/>
        </w:rPr>
        <w:t xml:space="preserve">Ocean Freight Emission Factor:</w:t>
      </w:r>
      <w:r>
        <w:t xml:space="preserve"> </w:t>
      </w:r>
      <w:r>
        <w:t xml:space="preserve">0.016 kgCO2e/tkm (for container ships)</w:t>
      </w:r>
    </w:p>
    <w:p>
      <w:pPr>
        <w:numPr>
          <w:ilvl w:val="0"/>
          <w:numId w:val="1005"/>
        </w:numPr>
        <w:pStyle w:val="Compact"/>
      </w:pPr>
      <w:r>
        <w:rPr>
          <w:bCs/>
          <w:b/>
        </w:rPr>
        <w:t xml:space="preserve">Last-Mile Delivery Channel (Europe):</w:t>
      </w:r>
      <w:r>
        <w:t xml:space="preserve"> </w:t>
      </w:r>
      <w:r>
        <w:t xml:space="preserve">Delivery Type = Direct to Consumer via Road Freight (Heavy Duty Truck)</w:t>
      </w:r>
    </w:p>
    <w:p>
      <w:pPr>
        <w:numPr>
          <w:ilvl w:val="0"/>
          <w:numId w:val="1005"/>
        </w:numPr>
        <w:pStyle w:val="Compact"/>
      </w:pPr>
      <w:r>
        <w:rPr>
          <w:bCs/>
          <w:b/>
        </w:rPr>
        <w:t xml:space="preserve">Last-Mile Transport Distance (Europe):</w:t>
      </w:r>
      <w:r>
        <w:t xml:space="preserve"> </w:t>
      </w:r>
      <w:r>
        <w:t xml:space="preserve">ssihluutrh = 500 km</w:t>
      </w:r>
    </w:p>
    <w:p>
      <w:pPr>
        <w:numPr>
          <w:ilvl w:val="0"/>
          <w:numId w:val="1005"/>
        </w:numPr>
        <w:pStyle w:val="Compact"/>
      </w:pPr>
      <w:r>
        <w:rPr>
          <w:bCs/>
          <w:b/>
        </w:rPr>
        <w:t xml:space="preserve">Road Freight Emission Factor:</w:t>
      </w:r>
      <w:r>
        <w:t xml:space="preserve"> </w:t>
      </w:r>
      <w:r>
        <w:t xml:space="preserve">0.1 kgCO2e/tkm (for heavy duty truck)</w:t>
      </w:r>
    </w:p>
    <w:bookmarkEnd w:id="31"/>
    <w:bookmarkStart w:id="32"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sloeepwvld = 5 years</w:t>
      </w:r>
    </w:p>
    <w:p>
      <w:pPr>
        <w:numPr>
          <w:ilvl w:val="0"/>
          <w:numId w:val="1006"/>
        </w:numPr>
        <w:pStyle w:val="Compact"/>
      </w:pPr>
      <w:r>
        <w:rPr>
          <w:bCs/>
          <w:b/>
        </w:rPr>
        <w:t xml:space="preserve">Energy Consumption in Use:</w:t>
      </w:r>
      <w:r>
        <w:t xml:space="preserve"> </w:t>
      </w:r>
      <w:r>
        <w:t xml:space="preserve">tzpjemqijs = 15 kWh/year</w:t>
      </w:r>
    </w:p>
    <w:p>
      <w:pPr>
        <w:numPr>
          <w:ilvl w:val="0"/>
          <w:numId w:val="1006"/>
        </w:numPr>
        <w:pStyle w:val="Compact"/>
      </w:pPr>
      <w:r>
        <w:rPr>
          <w:bCs/>
          <w:b/>
        </w:rPr>
        <w:t xml:space="preserve">European Grid Emission Factor (average):</w:t>
      </w:r>
      <w:r>
        <w:t xml:space="preserve"> </w:t>
      </w:r>
      <w:r>
        <w:t xml:space="preserve">0.25 kgCO2e/kWh</w:t>
      </w:r>
    </w:p>
    <w:bookmarkEnd w:id="32"/>
    <w:bookmarkStart w:id="33"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pqufhhzgpl = 70%</w:t>
      </w:r>
    </w:p>
    <w:p>
      <w:pPr>
        <w:numPr>
          <w:ilvl w:val="0"/>
          <w:numId w:val="1007"/>
        </w:numPr>
        <w:pStyle w:val="Compact"/>
      </w:pPr>
      <w:r>
        <w:rPr>
          <w:bCs/>
          <w:b/>
        </w:rPr>
        <w:t xml:space="preserve">Circular/Take-back Programs:</w:t>
      </w:r>
      <w:r>
        <w:t xml:space="preserve"> </w:t>
      </w:r>
      <w:r>
        <w:t xml:space="preserve">tsigyigdhg = Yes, leading to 15% material recovery beyond standard recycling. This implies a total recovery rate of 85%.</w:t>
      </w:r>
    </w:p>
    <w:p>
      <w:r>
        <w:pict>
          <v:rect style="width:0;height:1.5pt" o:hralign="center" o:hrstd="t" o:hr="t"/>
        </w:pict>
      </w:r>
    </w:p>
    <w:bookmarkEnd w:id="33"/>
    <w:bookmarkEnd w:id="34"/>
    <w:bookmarkStart w:id="40" w:name="X84905863ad58caa81b83ef66a0ea955e601672a"/>
    <w:p>
      <w:pPr>
        <w:pStyle w:val="Heading2"/>
      </w:pPr>
      <w:r>
        <w:t xml:space="preserve">4. Emission Calculations (Activity * Emission Factor = CO2e)</w:t>
      </w:r>
    </w:p>
    <w:bookmarkStart w:id="35" w:name="X60f6203f3c261b141bf562da817904a4c294dea"/>
    <w:p>
      <w:pPr>
        <w:pStyle w:val="Heading3"/>
      </w:pPr>
      <w:r>
        <w:t xml:space="preserve">4.1. Scope 3: Upstream Emissions (Material Acquisition &amp; Pre-processing)</w:t>
      </w:r>
    </w:p>
    <w:p>
      <w:pPr>
        <w:pStyle w:val="FirstParagraph"/>
      </w:pPr>
      <w:r>
        <w:t xml:space="preserve">These emissions are calculated directly from the detailed Bill of Materials (BOM) provided.</w:t>
      </w:r>
    </w:p>
    <w:p>
      <w:pPr>
        <w:pStyle w:val="BodyText"/>
      </w:pPr>
      <w:r>
        <w:rPr>
          <w:bCs/>
          <w:b/>
        </w:rPr>
        <w:t xml:space="preserve">Total Emissions from Material Acquisition &amp; Pre-processing = 20.765 kgCO2e</w:t>
      </w:r>
    </w:p>
    <w:bookmarkEnd w:id="35"/>
    <w:bookmarkStart w:id="36" w:name="Xf85bb1707d6fa7a0900cbdfc92ab0af50401209"/>
    <w:p>
      <w:pPr>
        <w:pStyle w:val="Heading3"/>
      </w:pPr>
      <w:r>
        <w:t xml:space="preserve">4.2. Scope 2: Manufacturing Emissions (Purchased Energy)</w:t>
      </w:r>
    </w:p>
    <w:p>
      <w:pPr>
        <w:pStyle w:val="FirstParagraph"/>
      </w:pPr>
      <w:r>
        <w:t xml:space="preserve">The manufacturing facility in China utilizes both renewable and non-renewable electricity.</w:t>
      </w:r>
    </w:p>
    <w:p>
      <w:pPr>
        <w:numPr>
          <w:ilvl w:val="0"/>
          <w:numId w:val="1008"/>
        </w:numPr>
        <w:pStyle w:val="Compact"/>
      </w:pPr>
      <w:r>
        <w:t xml:space="preserve">Energy Consumption for Manufacturing = 8.5 kWh/unit</w:t>
      </w:r>
    </w:p>
    <w:p>
      <w:pPr>
        <w:numPr>
          <w:ilvl w:val="0"/>
          <w:numId w:val="1008"/>
        </w:numPr>
        <w:pStyle w:val="Compact"/>
      </w:pPr>
      <w:r>
        <w:t xml:space="preserve">Non-renewable Energy Share = 100% - 35% = 65%</w:t>
      </w:r>
    </w:p>
    <w:p>
      <w:pPr>
        <w:numPr>
          <w:ilvl w:val="0"/>
          <w:numId w:val="1008"/>
        </w:numPr>
        <w:pStyle w:val="Compact"/>
      </w:pPr>
      <w:r>
        <w:t xml:space="preserve">China Grid Emission Factor = 0.61 kgCO2e/kWh</w:t>
      </w:r>
    </w:p>
    <w:p>
      <w:pPr>
        <w:numPr>
          <w:ilvl w:val="0"/>
          <w:numId w:val="1008"/>
        </w:numPr>
        <w:pStyle w:val="Compact"/>
      </w:pPr>
      <w:r>
        <w:t xml:space="preserve">Calculations: (8.5 kWh/unit * 0.65) * 0.61 kgCO2e/kWh = 3.37475 kgCO2e/unit</w:t>
      </w:r>
    </w:p>
    <w:p>
      <w:pPr>
        <w:pStyle w:val="FirstParagraph"/>
      </w:pPr>
      <w:r>
        <w:rPr>
          <w:bCs/>
          <w:b/>
        </w:rPr>
        <w:t xml:space="preserve">Total Emissions from Manufacturing = 3.375 kgCO2e</w:t>
      </w:r>
    </w:p>
    <w:bookmarkEnd w:id="36"/>
    <w:bookmarkStart w:id="37" w:name="Xcca76a644e3fb4ac3c308a88907a0d27c9dae87"/>
    <w:p>
      <w:pPr>
        <w:pStyle w:val="Heading3"/>
      </w:pPr>
      <w:r>
        <w:t xml:space="preserve">4.3. Scope 3: Upstream &amp; Downstream Transportation</w:t>
      </w:r>
    </w:p>
    <w:p>
      <w:pPr>
        <w:pStyle w:val="FirstParagraph"/>
      </w:pPr>
      <w:r>
        <w:t xml:space="preserve">Transportation emissions are calculated based on the distance-based method (mass * distance * emission factor per tkm).</w:t>
      </w:r>
    </w:p>
    <w:p>
      <w:pPr>
        <w:numPr>
          <w:ilvl w:val="0"/>
          <w:numId w:val="1009"/>
        </w:numPr>
        <w:pStyle w:val="Compact"/>
      </w:pPr>
      <w:r>
        <w:t xml:space="preserve">Product Mass per unit: 0.448 kg (0.000448 tonnes)</w:t>
      </w:r>
    </w:p>
    <w:p>
      <w:pPr>
        <w:numPr>
          <w:ilvl w:val="0"/>
          <w:numId w:val="1009"/>
        </w:numPr>
        <w:pStyle w:val="Compact"/>
      </w:pPr>
      <w:r>
        <w:rPr>
          <w:bCs/>
          <w:b/>
        </w:rPr>
        <w:t xml:space="preserve">Main Transport (China to Europe - Ocean Freight):</w:t>
      </w:r>
    </w:p>
    <w:p>
      <w:pPr>
        <w:numPr>
          <w:ilvl w:val="1"/>
          <w:numId w:val="1010"/>
        </w:numPr>
        <w:pStyle w:val="Compact"/>
      </w:pPr>
      <w:r>
        <w:t xml:space="preserve">Distance: 20,000 km</w:t>
      </w:r>
    </w:p>
    <w:p>
      <w:pPr>
        <w:numPr>
          <w:ilvl w:val="1"/>
          <w:numId w:val="1010"/>
        </w:numPr>
        <w:pStyle w:val="Compact"/>
      </w:pPr>
      <w:r>
        <w:t xml:space="preserve">Emission Factor: 0.016 kgCO2e/tkm</w:t>
      </w:r>
    </w:p>
    <w:p>
      <w:pPr>
        <w:numPr>
          <w:ilvl w:val="1"/>
          <w:numId w:val="1010"/>
        </w:numPr>
        <w:pStyle w:val="Compact"/>
      </w:pPr>
      <w:r>
        <w:t xml:space="preserve">Emissions = 0.000448 tonnes * 20,000 km * 0.016 kgCO2e/tkm = 0.14336 kgCO2e/unit</w:t>
      </w:r>
    </w:p>
    <w:p>
      <w:pPr>
        <w:numPr>
          <w:ilvl w:val="0"/>
          <w:numId w:val="1009"/>
        </w:numPr>
        <w:pStyle w:val="Compact"/>
      </w:pPr>
      <w:r>
        <w:rPr>
          <w:bCs/>
          <w:b/>
        </w:rPr>
        <w:t xml:space="preserve">Last-Mile Delivery (Europe - Road Freight):</w:t>
      </w:r>
    </w:p>
    <w:p>
      <w:pPr>
        <w:numPr>
          <w:ilvl w:val="1"/>
          <w:numId w:val="1011"/>
        </w:numPr>
        <w:pStyle w:val="Compact"/>
      </w:pPr>
      <w:r>
        <w:t xml:space="preserve">Distance: 500 km</w:t>
      </w:r>
    </w:p>
    <w:p>
      <w:pPr>
        <w:numPr>
          <w:ilvl w:val="1"/>
          <w:numId w:val="1011"/>
        </w:numPr>
        <w:pStyle w:val="Compact"/>
      </w:pPr>
      <w:r>
        <w:t xml:space="preserve">Emission Factor: 0.1 kgCO2e/tkm</w:t>
      </w:r>
    </w:p>
    <w:p>
      <w:pPr>
        <w:numPr>
          <w:ilvl w:val="1"/>
          <w:numId w:val="1011"/>
        </w:numPr>
        <w:pStyle w:val="Compact"/>
      </w:pPr>
      <w:r>
        <w:t xml:space="preserve">Emissions = 0.000448 tonnes * 500 km * 0.1 kgCO2e/tkm = 0.0224 kgCO2e/unit</w:t>
      </w:r>
    </w:p>
    <w:p>
      <w:pPr>
        <w:pStyle w:val="FirstParagraph"/>
      </w:pPr>
      <w:r>
        <w:rPr>
          <w:bCs/>
          <w:b/>
        </w:rPr>
        <w:t xml:space="preserve">Total Emissions from Transportation = 0.143 kgCO2e (Upstream) + 0.022 kgCO2e (Downstream) = 0.165 kgCO2e</w:t>
      </w:r>
    </w:p>
    <w:bookmarkEnd w:id="37"/>
    <w:bookmarkStart w:id="38" w:name="scope-3-downstream-emissions-use-phase"/>
    <w:p>
      <w:pPr>
        <w:pStyle w:val="Heading3"/>
      </w:pPr>
      <w:r>
        <w:t xml:space="preserve">4.4. Scope 3: Downstream Emissions (Use Phase)</w:t>
      </w:r>
    </w:p>
    <w:p>
      <w:pPr>
        <w:pStyle w:val="FirstParagraph"/>
      </w:pPr>
      <w:r>
        <w:t xml:space="preserve">The use phase emissions account for the product\'s energy consumption over its lifespan in a European context.</w:t>
      </w:r>
    </w:p>
    <w:p>
      <w:pPr>
        <w:numPr>
          <w:ilvl w:val="0"/>
          <w:numId w:val="1012"/>
        </w:numPr>
        <w:pStyle w:val="Compact"/>
      </w:pPr>
      <w:r>
        <w:t xml:space="preserve">Product Lifespan: 5 years</w:t>
      </w:r>
    </w:p>
    <w:p>
      <w:pPr>
        <w:numPr>
          <w:ilvl w:val="0"/>
          <w:numId w:val="1012"/>
        </w:numPr>
        <w:pStyle w:val="Compact"/>
      </w:pPr>
      <w:r>
        <w:t xml:space="preserve">Energy Consumption: 15 kWh/year</w:t>
      </w:r>
    </w:p>
    <w:p>
      <w:pPr>
        <w:numPr>
          <w:ilvl w:val="0"/>
          <w:numId w:val="1012"/>
        </w:numPr>
        <w:pStyle w:val="Compact"/>
      </w:pPr>
      <w:r>
        <w:t xml:space="preserve">European Grid Emission Factor: 0.25 kgCO2e/kWh</w:t>
      </w:r>
    </w:p>
    <w:p>
      <w:pPr>
        <w:numPr>
          <w:ilvl w:val="0"/>
          <w:numId w:val="1012"/>
        </w:numPr>
        <w:pStyle w:val="Compact"/>
      </w:pPr>
      <w:r>
        <w:t xml:space="preserve">Calculations: (15 kWh/year * 5 years) * 0.25 kgCO2e/kWh = 18.75 kgCO2e/unit</w:t>
      </w:r>
    </w:p>
    <w:p>
      <w:pPr>
        <w:pStyle w:val="FirstParagraph"/>
      </w:pPr>
      <w:r>
        <w:rPr>
          <w:bCs/>
          <w:b/>
        </w:rPr>
        <w:t xml:space="preserve">Total Emissions from Use Phase = 18.750 kgCO2e</w:t>
      </w:r>
    </w:p>
    <w:bookmarkEnd w:id="38"/>
    <w:bookmarkStart w:id="39" w:name="scope-3-downstream-emissions-end-of-life"/>
    <w:p>
      <w:pPr>
        <w:pStyle w:val="Heading3"/>
      </w:pPr>
      <w:r>
        <w:t xml:space="preserve">4.5. Scope 3: Downstream Emissions (End-of-Life)</w:t>
      </w:r>
    </w:p>
    <w:p>
      <w:pPr>
        <w:pStyle w:val="FirstParagraph"/>
      </w:pPr>
      <w:r>
        <w:t xml:space="preserve">The End-of-Life scenario incorporates circular economy impacts, including recycling and take-back programs, reflecting avoided emissions from displacing virgin material production.</w:t>
      </w:r>
    </w:p>
    <w:p>
      <w:pPr>
        <w:numPr>
          <w:ilvl w:val="0"/>
          <w:numId w:val="1013"/>
        </w:numPr>
        <w:pStyle w:val="Compact"/>
      </w:pPr>
      <w:r>
        <w:t xml:space="preserve">Total Material Carbon from BOM (virgin equivalent): 20.765 kgCO2e</w:t>
      </w:r>
    </w:p>
    <w:p>
      <w:pPr>
        <w:numPr>
          <w:ilvl w:val="0"/>
          <w:numId w:val="1013"/>
        </w:numPr>
        <w:pStyle w:val="Compact"/>
      </w:pPr>
      <w:r>
        <w:t xml:space="preserve">Recyclability Percentage: 70%</w:t>
      </w:r>
    </w:p>
    <w:p>
      <w:pPr>
        <w:numPr>
          <w:ilvl w:val="0"/>
          <w:numId w:val="1013"/>
        </w:numPr>
        <w:pStyle w:val="Compact"/>
      </w:pPr>
      <w:r>
        <w:t xml:space="preserve">Additional Recovery from Circular Programs: 15%</w:t>
      </w:r>
    </w:p>
    <w:p>
      <w:pPr>
        <w:numPr>
          <w:ilvl w:val="0"/>
          <w:numId w:val="1013"/>
        </w:numPr>
        <w:pStyle w:val="Compact"/>
      </w:pPr>
      <w:r>
        <w:t xml:space="preserve">Total Material Recovery Rate: 70% + 15% = 85%</w:t>
      </w:r>
    </w:p>
    <w:p>
      <w:pPr>
        <w:numPr>
          <w:ilvl w:val="0"/>
          <w:numId w:val="1013"/>
        </w:numPr>
        <w:pStyle w:val="Compact"/>
      </w:pPr>
      <w:r>
        <w:t xml:space="preserve">Assumed avoided emissions factor for recycled/recovered materials: 80% reduction compared to virgin material production.</w:t>
      </w:r>
    </w:p>
    <w:p>
      <w:pPr>
        <w:numPr>
          <w:ilvl w:val="0"/>
          <w:numId w:val="1013"/>
        </w:numPr>
        <w:pStyle w:val="Compact"/>
      </w:pPr>
      <w:r>
        <w:t xml:space="preserve">Calculations: -(Total Material Carbon * Total Recovery Rate * Avoided Emissions Factor)</w:t>
      </w:r>
    </w:p>
    <w:p>
      <w:pPr>
        <w:numPr>
          <w:ilvl w:val="0"/>
          <w:numId w:val="1013"/>
        </w:numPr>
        <w:pStyle w:val="Compact"/>
      </w:pPr>
      <w:r>
        <w:t xml:space="preserve">Avoided Emissions = -(20.765 kgCO2e * 0.85 * 0.80) = -14.1202 kgCO2e</w:t>
      </w:r>
    </w:p>
    <w:p>
      <w:pPr>
        <w:pStyle w:val="FirstParagraph"/>
      </w:pPr>
      <w:r>
        <w:rPr>
          <w:bCs/>
          <w:b/>
        </w:rPr>
        <w:t xml:space="preserve">Total Emissions from End-of-Life = -14.120 kgCO2e</w:t>
      </w:r>
      <w:r>
        <w:t xml:space="preserve"> </w:t>
      </w:r>
      <w:r>
        <w:t xml:space="preserve">(representing a carbon credit/avoided emissions)</w:t>
      </w:r>
    </w:p>
    <w:p>
      <w:pPr>
        <w:pStyle w:val="BodyText"/>
      </w:pPr>
      <w:r>
        <w:rPr>
          <w:iCs/>
          <w:i/>
        </w:rPr>
        <w:t xml:space="preserve">Note on LSR Standard:</w:t>
      </w:r>
      <w:r>
        <w:t xml:space="preserve"> </w:t>
      </w:r>
      <w:r>
        <w:t xml:space="preserve">The GHG Protocol Land Sector and Removals (LSR) Standard, effective January 1, 2027, provides guidance for quantifying land emissions and CO2 removals. While the full guidance is still developing, for this product (an electronic device), direct land sector activities are not primarily identified within the company\'s operations. However, the avoided emissions from robust recycling and circular programs align with the spirit of the LSR Standard by promoting carbon removals from the atmosphere through material cycling and reduced virgin resource extraction. Embodied land-use change in raw material extraction is implicitly captured within the material emission factors.</w:t>
      </w:r>
    </w:p>
    <w:p>
      <w:r>
        <w:pict>
          <v:rect style="width:0;height:1.5pt" o:hralign="center" o:hrstd="t" o:hr="t"/>
        </w:pict>
      </w:r>
    </w:p>
    <w:bookmarkEnd w:id="39"/>
    <w:bookmarkEnd w:id="40"/>
    <w:bookmarkStart w:id="43" w:name="total-product-carbon-footprint-pcf"/>
    <w:p>
      <w:pPr>
        <w:pStyle w:val="Heading2"/>
      </w:pPr>
      <w:r>
        <w:t xml:space="preserve">5. Total Product Carbon Footprint (PCF)</w:t>
      </w:r>
    </w:p>
    <w:p>
      <w:pPr>
        <w:pStyle w:val="FirstParagraph"/>
      </w:pPr>
      <w:r>
        <w:t xml:space="preserve">The aggregated carbon footprint for one functional unit of ushydsddxe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20.765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3.375</w:t>
            </w:r>
          </w:p>
        </w:tc>
      </w:tr>
      <w:tr>
        <w:tc>
          <w:tcPr/>
          <w:p>
            <w:pPr>
              <w:pStyle w:val="Compact"/>
              <w:jc w:val="left"/>
            </w:pPr>
            <w:r>
              <w:t xml:space="preserve">Transportation (Inbound)</w:t>
            </w:r>
          </w:p>
        </w:tc>
        <w:tc>
          <w:tcPr/>
          <w:p>
            <w:pPr>
              <w:pStyle w:val="Compact"/>
              <w:jc w:val="left"/>
            </w:pPr>
            <w:r>
              <w:t xml:space="preserve">Scope 3 (Upstream)</w:t>
            </w:r>
          </w:p>
        </w:tc>
        <w:tc>
          <w:tcPr/>
          <w:p>
            <w:pPr>
              <w:pStyle w:val="Compact"/>
              <w:jc w:val="left"/>
            </w:pPr>
            <w:r>
              <w:t xml:space="preserve">0.143</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0.022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18.750</w:t>
            </w:r>
          </w:p>
        </w:tc>
      </w:tr>
      <w:tr>
        <w:tc>
          <w:tcPr/>
          <w:p>
            <w:pPr>
              <w:pStyle w:val="Compact"/>
              <w:jc w:val="left"/>
            </w:pPr>
            <w:r>
              <w:t xml:space="preserve">End-of-Life (Net Avoided Emissions)</w:t>
            </w:r>
          </w:p>
        </w:tc>
        <w:tc>
          <w:tcPr/>
          <w:p>
            <w:pPr>
              <w:pStyle w:val="Compact"/>
              <w:jc w:val="left"/>
            </w:pPr>
            <w:r>
              <w:t xml:space="preserve">Scope 3 (Downstream)</w:t>
            </w:r>
          </w:p>
        </w:tc>
        <w:tc>
          <w:tcPr/>
          <w:p>
            <w:pPr>
              <w:pStyle w:val="Compact"/>
              <w:jc w:val="left"/>
            </w:pPr>
            <w:r>
              <w:t xml:space="preserve">-14.120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28.935</w:t>
            </w:r>
          </w:p>
        </w:tc>
      </w:tr>
    </w:tbl>
    <w:bookmarkStart w:id="41" w:name="ghg-protocol-scope-summary"/>
    <w:p>
      <w:pPr>
        <w:pStyle w:val="Heading3"/>
      </w:pPr>
      <w:r>
        <w:t xml:space="preserve">5.1.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3.375</w:t>
            </w:r>
          </w:p>
        </w:tc>
        <w:tc>
          <w:tcPr/>
          <w:p>
            <w:pPr>
              <w:pStyle w:val="Compact"/>
              <w:jc w:val="left"/>
            </w:pPr>
            <w:r>
              <w:t xml:space="preserve">11.66%</w:t>
            </w:r>
          </w:p>
        </w:tc>
      </w:tr>
      <w:tr>
        <w:tc>
          <w:tcPr/>
          <w:p>
            <w:pPr>
              <w:pStyle w:val="Compact"/>
              <w:jc w:val="left"/>
            </w:pPr>
            <w:r>
              <w:t xml:space="preserve">Scope 3 (Upstream)</w:t>
            </w:r>
          </w:p>
        </w:tc>
        <w:tc>
          <w:tcPr/>
          <w:p>
            <w:pPr>
              <w:pStyle w:val="Compact"/>
              <w:jc w:val="left"/>
            </w:pPr>
            <w:r>
              <w:t xml:space="preserve">20.765 (Materials) + 0.143 (Inbound Transport) = 20.908</w:t>
            </w:r>
          </w:p>
        </w:tc>
        <w:tc>
          <w:tcPr/>
          <w:p>
            <w:pPr>
              <w:pStyle w:val="Compact"/>
              <w:jc w:val="left"/>
            </w:pPr>
            <w:r>
              <w:t xml:space="preserve">72.26%</w:t>
            </w:r>
          </w:p>
        </w:tc>
      </w:tr>
      <w:tr>
        <w:tc>
          <w:tcPr/>
          <w:p>
            <w:pPr>
              <w:pStyle w:val="Compact"/>
              <w:jc w:val="left"/>
            </w:pPr>
            <w:r>
              <w:t xml:space="preserve">Scope 3 (Downstream)</w:t>
            </w:r>
          </w:p>
        </w:tc>
        <w:tc>
          <w:tcPr/>
          <w:p>
            <w:pPr>
              <w:pStyle w:val="Compact"/>
              <w:jc w:val="left"/>
            </w:pPr>
            <w:r>
              <w:t xml:space="preserve">0.022 (Outbound Transport) + 18.750 (Use Phase) - 14.120 (EoL) = 4.652</w:t>
            </w:r>
          </w:p>
        </w:tc>
        <w:tc>
          <w:tcPr/>
          <w:p>
            <w:pPr>
              <w:pStyle w:val="Compact"/>
              <w:jc w:val="left"/>
            </w:pPr>
            <w:r>
              <w:t xml:space="preserve">16.08%</w:t>
            </w:r>
          </w:p>
        </w:tc>
      </w:tr>
      <w:tr>
        <w:tc>
          <w:tcPr/>
          <w:p>
            <w:pPr>
              <w:pStyle w:val="Compact"/>
              <w:jc w:val="left"/>
            </w:pPr>
            <w:r>
              <w:rPr>
                <w:bCs/>
                <w:b/>
              </w:rPr>
              <w:t xml:space="preserve">Total PCF</w:t>
            </w:r>
          </w:p>
        </w:tc>
        <w:tc>
          <w:tcPr/>
          <w:p>
            <w:pPr>
              <w:pStyle w:val="Compact"/>
              <w:jc w:val="left"/>
            </w:pPr>
            <w:r>
              <w:rPr>
                <w:bCs/>
                <w:b/>
              </w:rPr>
              <w:t xml:space="preserve">28.935</w:t>
            </w:r>
          </w:p>
        </w:tc>
        <w:tc>
          <w:tcPr/>
          <w:p>
            <w:pPr>
              <w:pStyle w:val="Compact"/>
              <w:jc w:val="left"/>
            </w:pPr>
            <w:r>
              <w:rPr>
                <w:bCs/>
                <w:b/>
              </w:rPr>
              <w:t xml:space="preserve">100.00%</w:t>
            </w:r>
          </w:p>
        </w:tc>
      </w:tr>
    </w:tbl>
    <w:p>
      <w:pPr>
        <w:pStyle w:val="BodyText"/>
      </w:pPr>
      <w:r>
        <w:t xml:space="preserve">The Scope 3 coverage for this report is comprehensive, including both upstream and downstream activities, ensuring compliance with the 2026 requirement of at least 95% coverage for Scope 3 reporting.</w:t>
      </w:r>
    </w:p>
    <w:bookmarkEnd w:id="41"/>
    <w:bookmarkStart w:id="42" w:name="carbon-hotspots-and-recommendations"/>
    <w:p>
      <w:pPr>
        <w:pStyle w:val="Heading3"/>
      </w:pPr>
      <w:r>
        <w:t xml:space="preserve">5.2. Carbon Hotspots and Recommendations</w:t>
      </w:r>
    </w:p>
    <w:p>
      <w:pPr>
        <w:pStyle w:val="FirstParagraph"/>
      </w:pPr>
      <w:r>
        <w:t xml:space="preserve">Key insights from this PCF analysis:</w:t>
      </w:r>
    </w:p>
    <w:p>
      <w:pPr>
        <w:numPr>
          <w:ilvl w:val="0"/>
          <w:numId w:val="1014"/>
        </w:numPr>
        <w:pStyle w:val="Compact"/>
      </w:pPr>
      <w:r>
        <w:t xml:space="preserve">The **Use Phase** is the largest contributor to the product\'s carbon footprint (18.75 kgCO2e), primarily due to the energy consumption over the product\'s 5-year lifespan. This highlights the importance of energy efficiency during product operation and promoting the use of renewable energy sources by end-consumers.</w:t>
      </w:r>
    </w:p>
    <w:p>
      <w:pPr>
        <w:numPr>
          <w:ilvl w:val="0"/>
          <w:numId w:val="1014"/>
        </w:numPr>
        <w:pStyle w:val="Compact"/>
      </w:pPr>
      <w:r>
        <w:t xml:space="preserve">**Material Acquisition &amp; Pre-processing** is the second largest hotspot (20.765 kgCO2e), dominated by high-impact materials such as the Circuit Board and Aluminum Alloy. Exploring materials with lower embodied carbon, increasing recycled content (beyond current estimates for some components), and engaging with suppliers on decarbonization efforts are crucial.</w:t>
      </w:r>
    </w:p>
    <w:p>
      <w:pPr>
        <w:numPr>
          <w:ilvl w:val="0"/>
          <w:numId w:val="1014"/>
        </w:numPr>
        <w:pStyle w:val="Compact"/>
      </w:pPr>
      <w:r>
        <w:t xml:space="preserve">The **End-of-Life** phase provides a significant carbon credit (-14.120 kgCO2e) due to the high recyclability and circular/take-back programs. Expanding these programs and ensuring high collection and processing efficiencies can further enhance this benefit.</w:t>
      </w:r>
    </w:p>
    <w:p>
      <w:pPr>
        <w:numPr>
          <w:ilvl w:val="0"/>
          <w:numId w:val="1014"/>
        </w:numPr>
        <w:pStyle w:val="Compact"/>
      </w:pPr>
      <w:r>
        <w:t xml:space="preserve">**Manufacturing** emissions (3.375 kgCO2e) are influenced by the energy mix in China. Increasing renewable energy procurement at the manufacturing facility (beyond 35%) would directly reduce these emissions.</w:t>
      </w:r>
    </w:p>
    <w:p>
      <w:r>
        <w:pict>
          <v:rect style="width:0;height:1.5pt" o:hralign="center" o:hrstd="t" o:hr="t"/>
        </w:pict>
      </w:r>
    </w:p>
    <w:bookmarkEnd w:id="42"/>
    <w:bookmarkEnd w:id="43"/>
    <w:bookmarkStart w:id="44" w:name="review-reliability"/>
    <w:p>
      <w:pPr>
        <w:pStyle w:val="Heading2"/>
      </w:pPr>
      <w:r>
        <w:t xml:space="preserve">6. Review &amp; Reliability</w:t>
      </w:r>
    </w:p>
    <w:p>
      <w:pPr>
        <w:pStyle w:val="FirstParagraph"/>
      </w:pPr>
      <w:r>
        <w:t xml:space="preserve">This report is based on the provided parameters and a combination of industry-average and product-specific data. While efforts have been made to ensure accuracy and adherence to the GHG Protocol, including the 2026 LSR Standard updates, the reliability of the results is dependent on the quality and representativeness of the underlying emission factors and activity data. The use of hypothetical values for parameters like `xveurpjg`, `ssihluutrh`, `dgohmhsfyq`, `nupoewthkl`, `sloeepwvld`, `tzpjemqijs`, `pqufhhzgpl`, and `tsigyigdhg` means that actual company-specific primary data would yield a more precise and robust PCF.</w:t>
      </w:r>
    </w:p>
    <w:p>
      <w:pPr>
        <w:pStyle w:val="BodyText"/>
      </w:pPr>
      <w:r>
        <w:t xml:space="preserve">Further steps for enhancing reliability could include:</w:t>
      </w:r>
    </w:p>
    <w:p>
      <w:pPr>
        <w:numPr>
          <w:ilvl w:val="0"/>
          <w:numId w:val="1015"/>
        </w:numPr>
        <w:pStyle w:val="Compact"/>
      </w:pPr>
      <w:r>
        <w:t xml:space="preserve">Collecting primary data directly from material suppliers, manufacturers, and logistics providers.</w:t>
      </w:r>
    </w:p>
    <w:p>
      <w:pPr>
        <w:numPr>
          <w:ilvl w:val="0"/>
          <w:numId w:val="1015"/>
        </w:numPr>
        <w:pStyle w:val="Compact"/>
      </w:pPr>
      <w:r>
        <w:t xml:space="preserve">Conducting a sensitivity analysis to understand the impact of variations in key parameters.</w:t>
      </w:r>
    </w:p>
    <w:p>
      <w:pPr>
        <w:numPr>
          <w:ilvl w:val="0"/>
          <w:numId w:val="1015"/>
        </w:numPr>
        <w:pStyle w:val="Compact"/>
      </w:pPr>
      <w:r>
        <w:t xml:space="preserve">Regularly updating emission factors to reflect technological advancements and decarbonization efforts across the supply chain.</w:t>
      </w:r>
    </w:p>
    <w:p>
      <w:r>
        <w:pict>
          <v:rect style="width:0;height:1.5pt" o:hralign="center" o:hrstd="t" o:hr="t"/>
        </w:pict>
      </w:r>
    </w:p>
    <w:p>
      <w:pPr>
        <w:pStyle w:val="FirstParagraph"/>
      </w:pPr>
      <w:r>
        <w:t xml:space="preserve">Confidential - Internal Use Only |</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ushydsddxe</dc:title>
  <dc:creator/>
  <dc:description>High-detail Product Carbon Footprint (PCF) analysis report for ushydsddxe by tixkelqvnw, following GHG Protocol standards and 2026 LSR updates.</dc:description>
  <dc:language>en</dc:language>
  <cp:keywords/>
  <dcterms:created xsi:type="dcterms:W3CDTF">2026-05-30T10:33:58Z</dcterms:created>
  <dcterms:modified xsi:type="dcterms:W3CDTF">2026-05-30T10:33:58Z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