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urzuwqujhp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urzuwqujhp</w:t>
      </w:r>
    </w:p>
    <w:p>
      <w:pPr>
        <w:pStyle w:val="BodyText"/>
      </w:pPr>
      <w:r>
        <w:rPr>
          <w:bCs/>
          <w:b/>
        </w:rPr>
        <w:t xml:space="preserve">Company Name:</w:t>
      </w:r>
      <w:r>
        <w:t xml:space="preserve"> </w:t>
      </w:r>
      <w:r>
        <w:t xml:space="preserve">ezxvvryzkd</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gfpontuphh</w:t>
      </w:r>
    </w:p>
    <w:p>
      <w:pPr>
        <w:pStyle w:val="BodyText"/>
      </w:pPr>
      <w:r>
        <w:t xml:space="preserve">Disclaimer: This report is generated based on available data and industry standards. While efforts have been made to ensure accuracy and adherence to established methodologies, the results are subject to the limitations of data availability and assumptions made. This report serves as an internal assessment and a basis for further sustainability initiatives.</w:t>
      </w:r>
    </w:p>
    <w:p>
      <w:pPr>
        <w:pStyle w:val="BodyText"/>
      </w:pPr>
      <w:r>
        <w:t xml:space="preserve">Generated Date: May 28, 2026</w:t>
      </w:r>
    </w:p>
    <w:bookmarkEnd w:id="20"/>
    <w:bookmarkStart w:id="46" w:name="X8f85f761c54d5989e1eadd6babca7d5a634a464"/>
    <w:p>
      <w:pPr>
        <w:pStyle w:val="Heading1"/>
      </w:pPr>
      <w:r>
        <w:t xml:space="preserve">Product Carbon Footprint Analysis Report: urzuwqujhp</w:t>
      </w:r>
    </w:p>
    <w:p>
      <w:pPr>
        <w:pStyle w:val="FirstParagraph"/>
      </w:pPr>
      <w:r>
        <w:rPr>
          <w:bCs/>
          <w:b/>
        </w:rPr>
        <w:t xml:space="preserve">Generated Date:</w:t>
      </w:r>
      <w:r>
        <w:t xml:space="preserve"> </w:t>
      </w:r>
      <w:r>
        <w:t xml:space="preserve">May 28, 2026</w:t>
      </w:r>
    </w:p>
    <w:p>
      <w:pPr>
        <w:pStyle w:val="BodyText"/>
      </w:pPr>
      <w:r>
        <w:rPr>
          <w:bCs/>
          <w:b/>
        </w:rPr>
        <w:t xml:space="preserve">Senior Sustainability Consultant:</w:t>
      </w:r>
      <w:r>
        <w:t xml:space="preserve"> </w:t>
      </w:r>
      <w:r>
        <w:t xml:space="preserve">gfpontuphh</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provides a high-detail Product Carbon Footprint (PCF) analysis for the product urzuwqujhp, manufactured by ezxvvryzkd. The analysis adheres strictly to the GHG Protocol standards, incorporating the latest 2026 Land Sector and Removals (LSR) Standard updates and aiming for at least 95% coverage for Scope 3 emissions. The assessment follows a cradle-to-grave approach, encompassing raw material extraction, manufacturing, transportation, use phase, and end-of-life scenarios. Key findings highlight emission hotspots across the product\'s lifecycle, providing actionable insights for ezxvvryzkd to enhance its sustainability performance and reduce its environmental impact.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phase establishes the foundational parameters for the PCF analysis, ensuring consistency and clarity in the assessment.</w:t>
      </w:r>
    </w:p>
    <w:p>
      <w:pPr>
        <w:numPr>
          <w:ilvl w:val="0"/>
          <w:numId w:val="1001"/>
        </w:numPr>
        <w:pStyle w:val="Compact"/>
      </w:pPr>
      <w:r>
        <w:rPr>
          <w:bCs/>
          <w:b/>
        </w:rPr>
        <w:t xml:space="preserve">Functional Unit:</w:t>
      </w:r>
      <w:r>
        <w:t xml:space="preserve"> </w:t>
      </w:r>
      <w:r>
        <w:t xml:space="preserve">The functional unit for this analysis is 1.0 unit of urzuwqujhp.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PCF analysis is "cradle-to-grave." While the initial focus for production is "factory_gate", the analysis extends to include the downstream use phase and end-of-life scenarios, as per the provided parameters. This comprehensive boundary ensures that all significant environmental impacts associated with the product from raw material acquisition through its disposal are captured.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material sourcing and distribution implications)</w:t>
      </w:r>
    </w:p>
    <w:p>
      <w:pPr>
        <w:numPr>
          <w:ilvl w:val="0"/>
          <w:numId w:val="1001"/>
        </w:numPr>
        <w:pStyle w:val="Compact"/>
      </w:pPr>
      <w:r>
        <w:rPr>
          <w:bCs/>
          <w:b/>
        </w:rPr>
        <w:t xml:space="preserve">Accounting Standard:</w:t>
      </w:r>
      <w:r>
        <w:t xml:space="preserve"> </w:t>
      </w:r>
      <w:r>
        <w:t xml:space="preserve">The analysis strictly adheres to the Greenhouse Gas Protocol (GHG Protocol), specifically the Product Standard, Corporate Standard, and the Corporate Value Chain (Scope 3) Standard. This includes the application of the 2026 Land Sector and Removals (LSR) Standard where applicable to land use and carbon removals. The GHG Protocol categorizes emissions into three scopes:</w:t>
      </w:r>
    </w:p>
    <w:p>
      <w:pPr>
        <w:numPr>
          <w:ilvl w:val="1"/>
          <w:numId w:val="1003"/>
        </w:numPr>
        <w:pStyle w:val="Compact"/>
      </w:pPr>
      <w:r>
        <w:rPr>
          <w:bCs/>
          <w:b/>
        </w:rPr>
        <w:t xml:space="preserve">Scope 1:</w:t>
      </w:r>
      <w:r>
        <w:t xml:space="preserve"> </w:t>
      </w:r>
      <w:r>
        <w:t xml:space="preserve">Direct GHG emissions from sources owned or controlled by ezxvvryzkd.</w:t>
      </w:r>
    </w:p>
    <w:p>
      <w:pPr>
        <w:numPr>
          <w:ilvl w:val="1"/>
          <w:numId w:val="1003"/>
        </w:numPr>
        <w:pStyle w:val="Compact"/>
      </w:pPr>
      <w:r>
        <w:rPr>
          <w:bCs/>
          <w:b/>
        </w:rPr>
        <w:t xml:space="preserve">Scope 2:</w:t>
      </w:r>
      <w:r>
        <w:t xml:space="preserve"> </w:t>
      </w:r>
      <w:r>
        <w:t xml:space="preserve">Indirect GHG emissions from the generation of purchased electricity, heat, or steam consumed by ezxvvryzkd.</w:t>
      </w:r>
    </w:p>
    <w:p>
      <w:pPr>
        <w:numPr>
          <w:ilvl w:val="1"/>
          <w:numId w:val="1003"/>
        </w:numPr>
        <w:pStyle w:val="Compact"/>
      </w:pPr>
      <w:r>
        <w:rPr>
          <w:bCs/>
          <w:b/>
        </w:rPr>
        <w:t xml:space="preserve">Scope 3:</w:t>
      </w:r>
      <w:r>
        <w:t xml:space="preserve"> </w:t>
      </w:r>
      <w:r>
        <w:t xml:space="preserve">All other indirect GHG emissions that occur in the value chain of ezxvvryzkd, both upstream and downstream. This analysis aims for at least 95% coverage of required Scope 3 emissions as per the 2026 requirements, ensuring a robust and comprehensive assessment.</w:t>
      </w:r>
    </w:p>
    <w:p>
      <w:pPr>
        <w:numPr>
          <w:ilvl w:val="0"/>
          <w:numId w:val="1001"/>
        </w:numPr>
        <w:pStyle w:val="Compact"/>
      </w:pPr>
      <w:r>
        <w:rPr>
          <w:bCs/>
          <w:b/>
        </w:rPr>
        <w:t xml:space="preserve">Allocation:</w:t>
      </w:r>
      <w:r>
        <w:t xml:space="preserve"> </w:t>
      </w:r>
      <w:r>
        <w:t xml:space="preserve">Allocation of environmental impacts across co-products (if any) or shared processes follows GHG Protocol guidance, prioritizing physical causality (e.g., mass) or, where not feasible, economic value. For this specific product, co-production is not a significant factor, so direct attribution is primarily applied.</w:t>
      </w:r>
    </w:p>
    <w:p>
      <w:r>
        <w:pict>
          <v:rect style="width:0;height:1.5pt" o:hralign="center" o:hrstd="t" o:hr="t"/>
        </w:pict>
      </w:r>
    </w:p>
    <w:bookmarkEnd w:id="22"/>
    <w:bookmarkStart w:id="28"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collected for each, including materials, energy inputs, and logistical information. Representative industry-average emission factors from sources such as Ecoinvent and DEFRA are used for calculations.</w:t>
      </w:r>
    </w:p>
    <w:bookmarkStart w:id="23" w:name="Xa79748439871219793823ec4a3a8e875fea5068"/>
    <w:p>
      <w:pPr>
        <w:pStyle w:val="Heading3"/>
      </w:pPr>
      <w:r>
        <w:t xml:space="preserve">Detailed Bill of Materials (BOM) for urzuwqujhp</w:t>
      </w:r>
    </w:p>
    <w:p>
      <w:pPr>
        <w:pStyle w:val="FirstParagraph"/>
      </w:pPr>
      <w:r>
        <w:t xml:space="preserve">The following table presents the Detailed Bill of Materials (BOM) for one unit of urzuwqujhp, including associated raw material emission factors and calculated total carbon impact. These factors represent the cradle-to-gate impact of the materials. All quantities are specified in kilograms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kg</w:t>
            </w:r>
          </w:p>
        </w:tc>
        <w:tc>
          <w:tcPr/>
          <w:p>
            <w:pPr>
              <w:pStyle w:val="Compact"/>
              <w:jc w:val="left"/>
            </w:pPr>
            <w:r>
              <w:t xml:space="preserve">2.75</w:t>
            </w:r>
          </w:p>
        </w:tc>
        <w:tc>
          <w:tcPr/>
          <w:p>
            <w:pPr>
              <w:pStyle w:val="Compact"/>
              <w:jc w:val="left"/>
            </w:pPr>
            <w:r>
              <w:t xml:space="preserve">2.20</w:t>
            </w:r>
          </w:p>
        </w:tc>
      </w:tr>
      <w:tr>
        <w:tc>
          <w:tcPr/>
          <w:p>
            <w:pPr>
              <w:pStyle w:val="Compact"/>
              <w:jc w:val="left"/>
            </w:pPr>
            <w:r>
              <w:t xml:space="preserve">2</w:t>
            </w:r>
          </w:p>
        </w:tc>
        <w:tc>
          <w:tcPr/>
          <w:p>
            <w:pPr>
              <w:pStyle w:val="Compact"/>
              <w:jc w:val="left"/>
            </w:pPr>
            <w:r>
              <w:t xml:space="preserve">Electronic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20.00 (Illustrative)</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15.00 (Illustrative)</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 Machining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4.43</w:t>
            </w:r>
          </w:p>
        </w:tc>
      </w:tr>
      <w:tr>
        <w:tc>
          <w:tcPr/>
          <w:p>
            <w:pPr>
              <w:pStyle w:val="Compact"/>
              <w:jc w:val="left"/>
            </w:pPr>
            <w:r>
              <w:t xml:space="preserve">5</w:t>
            </w:r>
          </w:p>
        </w:tc>
        <w:tc>
          <w:tcPr/>
          <w:p>
            <w:pPr>
              <w:pStyle w:val="Compact"/>
              <w:jc w:val="left"/>
            </w:pPr>
            <w:r>
              <w:t xml:space="preserve">Internal Wiring</w:t>
            </w:r>
          </w:p>
        </w:tc>
        <w:tc>
          <w:tcPr/>
          <w:p>
            <w:pPr>
              <w:pStyle w:val="Compact"/>
              <w:jc w:val="left"/>
            </w:pPr>
            <w:r>
              <w:t xml:space="preserve">Metals/Plastics</w:t>
            </w:r>
          </w:p>
        </w:tc>
        <w:tc>
          <w:tcPr/>
          <w:p>
            <w:pPr>
              <w:pStyle w:val="Compact"/>
              <w:jc w:val="left"/>
            </w:pPr>
            <w:r>
              <w:t xml:space="preserve">Wire Drawing, Coating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 (Illustrative)</w:t>
            </w:r>
          </w:p>
        </w:tc>
        <w:tc>
          <w:tcPr/>
          <w:p>
            <w:pPr>
              <w:pStyle w:val="Compact"/>
              <w:jc w:val="left"/>
            </w:pPr>
            <w:r>
              <w:t xml:space="preserve">0.25</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Corrugation, Printing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r>
        <w:tc>
          <w:tcPr>
            <w:gridSpan w:val="4"/>
          </w:tcPr>
          <w:p>
            <w:pPr>
              <w:pStyle w:val="Compact"/>
              <w:jc w:val="left"/>
            </w:pPr>
            <w:r>
              <w:t xml:space="preserve">TOTAL MATERIALS</w:t>
            </w:r>
          </w:p>
        </w:tc>
        <w:tc>
          <w:tcPr/>
          <w:p>
            <w:pPr>
              <w:pStyle w:val="Compact"/>
              <w:jc w:val="left"/>
            </w:pPr>
            <w:r>
              <w:t xml:space="preserve">1.60</w:t>
            </w:r>
          </w:p>
        </w:tc>
        <w:tc>
          <w:tcPr/>
          <w:p>
            <w:pPr>
              <w:pStyle w:val="Compact"/>
              <w:jc w:val="left"/>
            </w:pPr>
            <w:r>
              <w:t xml:space="preserve">kg</w:t>
            </w:r>
          </w:p>
        </w:tc>
        <w:tc>
          <w:tcPr/>
          <w:p>
            <w:pPr>
              <w:pStyle w:val="Compact"/>
            </w:pPr>
          </w:p>
        </w:tc>
        <w:tc>
          <w:tcPr/>
          <w:p>
            <w:pPr>
              <w:pStyle w:val="Compact"/>
              <w:jc w:val="left"/>
            </w:pPr>
            <w:r>
              <w:t xml:space="preserve">12.93</w:t>
            </w:r>
          </w:p>
        </w:tc>
      </w:tr>
    </w:tbl>
    <w:bookmarkEnd w:id="23"/>
    <w:bookmarkStart w:id="24" w:name="production-phase-data"/>
    <w:p>
      <w:pPr>
        <w:pStyle w:val="Heading3"/>
      </w:pPr>
      <w:r>
        <w:t xml:space="preserve">Production Phase Data</w:t>
      </w:r>
    </w:p>
    <w:p>
      <w:pPr>
        <w:numPr>
          <w:ilvl w:val="0"/>
          <w:numId w:val="1004"/>
        </w:numPr>
        <w:pStyle w:val="Compact"/>
      </w:pPr>
      <w:r>
        <w:rPr>
          <w:bCs/>
          <w:b/>
        </w:rPr>
        <w:t xml:space="preserve">Energy Intensity (kWh/unit):</w:t>
      </w:r>
      <w:r>
        <w:t xml:space="preserve"> </w:t>
      </w:r>
      <w:r>
        <w:t xml:space="preserve">5.5 kWh/unit (for final assembly in China).</w:t>
      </w:r>
    </w:p>
    <w:p>
      <w:pPr>
        <w:numPr>
          <w:ilvl w:val="0"/>
          <w:numId w:val="1004"/>
        </w:numPr>
        <w:pStyle w:val="Compact"/>
      </w:pPr>
      <w:r>
        <w:rPr>
          <w:bCs/>
          <w:b/>
        </w:rPr>
        <w:t xml:space="preserve">Renewable Energy Usage:</w:t>
      </w:r>
      <w:r>
        <w:t xml:space="preserve"> </w:t>
      </w:r>
      <w:r>
        <w:t xml:space="preserve">75% of the electricity consumed during production at the final assembly facility in China. This significantly reduces the grid electricity footprint for the portion of energy that is renewably sourced.</w:t>
      </w:r>
    </w:p>
    <w:p>
      <w:pPr>
        <w:numPr>
          <w:ilvl w:val="0"/>
          <w:numId w:val="1004"/>
        </w:numPr>
        <w:pStyle w:val="Compact"/>
      </w:pPr>
      <w:r>
        <w:rPr>
          <w:bCs/>
          <w:b/>
        </w:rPr>
        <w:t xml:space="preserve">Grid Emission Factor (China):</w:t>
      </w:r>
      <w:r>
        <w:t xml:space="preserve"> </w:t>
      </w:r>
      <w:r>
        <w:t xml:space="preserve">For the non-renewable portion of electricity, a grid emission factor of 0.65 kg CO₂e/kWh is used, representing an average for electricity generation in China.</w:t>
      </w:r>
    </w:p>
    <w:bookmarkEnd w:id="24"/>
    <w:bookmarkStart w:id="25" w:name="transport-logistics-data"/>
    <w:p>
      <w:pPr>
        <w:pStyle w:val="Heading3"/>
      </w:pPr>
      <w:r>
        <w:t xml:space="preserve">Transport Logistics Data</w:t>
      </w:r>
    </w:p>
    <w:p>
      <w:pPr>
        <w:numPr>
          <w:ilvl w:val="0"/>
          <w:numId w:val="1005"/>
        </w:numPr>
        <w:pStyle w:val="Compact"/>
      </w:pPr>
      <w:r>
        <w:rPr>
          <w:bCs/>
          <w:b/>
        </w:rPr>
        <w:t xml:space="preserve">Main Component Inbound Transport (Asia to Europe - Supply Chain Focus):</w:t>
      </w:r>
    </w:p>
    <w:p>
      <w:pPr>
        <w:numPr>
          <w:ilvl w:val="1"/>
          <w:numId w:val="1006"/>
        </w:numPr>
        <w:pStyle w:val="Compact"/>
      </w:pPr>
      <w:r>
        <w:rPr>
          <w:bCs/>
          <w:b/>
        </w:rPr>
        <w:t xml:space="preserve">Mode:</w:t>
      </w:r>
      <w:r>
        <w:t xml:space="preserve"> </w:t>
      </w:r>
      <w:r>
        <w:t xml:space="preserve">Ocean Freight</w:t>
      </w:r>
    </w:p>
    <w:p>
      <w:pPr>
        <w:numPr>
          <w:ilvl w:val="1"/>
          <w:numId w:val="1006"/>
        </w:numPr>
        <w:pStyle w:val="Compact"/>
      </w:pPr>
      <w:r>
        <w:rPr>
          <w:bCs/>
          <w:b/>
        </w:rPr>
        <w:t xml:space="preserve">Distance:</w:t>
      </w:r>
      <w:r>
        <w:t xml:space="preserve"> </w:t>
      </w:r>
      <w:r>
        <w:t xml:space="preserve">15,000 km</w:t>
      </w:r>
    </w:p>
    <w:p>
      <w:pPr>
        <w:numPr>
          <w:ilvl w:val="1"/>
          <w:numId w:val="1006"/>
        </w:numPr>
        <w:pStyle w:val="Compact"/>
      </w:pPr>
      <w:r>
        <w:rPr>
          <w:bCs/>
          <w:b/>
        </w:rPr>
        <w:t xml:space="preserve">Assumed Freight Weight for PCF:</w:t>
      </w:r>
      <w:r>
        <w:t xml:space="preserve"> </w:t>
      </w:r>
      <w:r>
        <w:t xml:space="preserve">Total material weight (1.6 kg)</w:t>
      </w:r>
    </w:p>
    <w:p>
      <w:pPr>
        <w:numPr>
          <w:ilvl w:val="1"/>
          <w:numId w:val="1006"/>
        </w:numPr>
        <w:pStyle w:val="Compact"/>
      </w:pPr>
      <w:r>
        <w:rPr>
          <w:bCs/>
          <w:b/>
        </w:rPr>
        <w:t xml:space="preserve">Emission Factor:</w:t>
      </w:r>
      <w:r>
        <w:t xml:space="preserve"> </w:t>
      </w:r>
      <w:r>
        <w:t xml:space="preserve">0.016 kg CO₂e/tonne-km (for container ship)</w:t>
      </w:r>
    </w:p>
    <w:p>
      <w:pPr>
        <w:numPr>
          <w:ilvl w:val="0"/>
          <w:numId w:val="1005"/>
        </w:numPr>
        <w:pStyle w:val="Compact"/>
      </w:pPr>
      <w:r>
        <w:rPr>
          <w:bCs/>
          <w:b/>
        </w:rPr>
        <w:t xml:space="preserve">Final Distribution Transport (within China/Europe):</w:t>
      </w:r>
    </w:p>
    <w:p>
      <w:pPr>
        <w:numPr>
          <w:ilvl w:val="1"/>
          <w:numId w:val="1007"/>
        </w:numPr>
        <w:pStyle w:val="Compact"/>
      </w:pPr>
      <w:r>
        <w:rPr>
          <w:bCs/>
          <w:b/>
        </w:rPr>
        <w:t xml:space="preserve">Mode:</w:t>
      </w:r>
      <w:r>
        <w:t xml:space="preserve"> </w:t>
      </w:r>
      <w:r>
        <w:t xml:space="preserve">Road Freight</w:t>
      </w:r>
    </w:p>
    <w:p>
      <w:pPr>
        <w:numPr>
          <w:ilvl w:val="1"/>
          <w:numId w:val="1007"/>
        </w:numPr>
        <w:pStyle w:val="Compact"/>
      </w:pPr>
      <w:r>
        <w:rPr>
          <w:bCs/>
          <w:b/>
        </w:rPr>
        <w:t xml:space="preserve">Distance:</w:t>
      </w:r>
      <w:r>
        <w:t xml:space="preserve"> </w:t>
      </w:r>
      <w:r>
        <w:t xml:space="preserve">500 km</w:t>
      </w:r>
    </w:p>
    <w:p>
      <w:pPr>
        <w:numPr>
          <w:ilvl w:val="1"/>
          <w:numId w:val="1007"/>
        </w:numPr>
        <w:pStyle w:val="Compact"/>
      </w:pPr>
      <w:r>
        <w:rPr>
          <w:bCs/>
          <w:b/>
        </w:rPr>
        <w:t xml:space="preserve">Assumed Freight Weight for PCF:</w:t>
      </w:r>
      <w:r>
        <w:t xml:space="preserve"> </w:t>
      </w:r>
      <w:r>
        <w:t xml:space="preserve">Total product weight (1.6 kg)</w:t>
      </w:r>
    </w:p>
    <w:p>
      <w:pPr>
        <w:numPr>
          <w:ilvl w:val="1"/>
          <w:numId w:val="1007"/>
        </w:numPr>
        <w:pStyle w:val="Compact"/>
      </w:pPr>
      <w:r>
        <w:rPr>
          <w:bCs/>
          <w:b/>
        </w:rPr>
        <w:t xml:space="preserve">Emission Factor:</w:t>
      </w:r>
      <w:r>
        <w:t xml:space="preserve"> </w:t>
      </w:r>
      <w:r>
        <w:t xml:space="preserve">0.09 kg CO₂e/tonne-km (average road freight)</w:t>
      </w:r>
    </w:p>
    <w:p>
      <w:pPr>
        <w:numPr>
          <w:ilvl w:val="0"/>
          <w:numId w:val="1005"/>
        </w:numPr>
        <w:pStyle w:val="Compact"/>
      </w:pPr>
      <w:r>
        <w:rPr>
          <w:bCs/>
          <w:b/>
        </w:rPr>
        <w:t xml:space="preserve">Last-Mile Delivery Channel:</w:t>
      </w:r>
      <w:r>
        <w:t xml:space="preserve"> </w:t>
      </w:r>
      <w:r>
        <w:t xml:space="preserve">Direct-to-consumer via Parcel Post. (Emissions often integrated into broader road freight factors or specific parcel delivery EFs, which for simplicity here are included within the road freight calculation.)</w:t>
      </w:r>
    </w:p>
    <w:bookmarkEnd w:id="25"/>
    <w:bookmarkStart w:id="26" w:name="use-phase-data"/>
    <w:p>
      <w:pPr>
        <w:pStyle w:val="Heading3"/>
      </w:pPr>
      <w:r>
        <w:t xml:space="preserve">Use Phase Data</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10 kWh/year (electrical consumption during typical product operation).</w:t>
      </w:r>
    </w:p>
    <w:p>
      <w:pPr>
        <w:numPr>
          <w:ilvl w:val="0"/>
          <w:numId w:val="1008"/>
        </w:numPr>
        <w:pStyle w:val="Compact"/>
      </w:pPr>
      <w:r>
        <w:rPr>
          <w:bCs/>
          <w:b/>
        </w:rPr>
        <w:t xml:space="preserve">Geographic Scope for Use Phase:</w:t>
      </w:r>
      <w:r>
        <w:t xml:space="preserve"> </w:t>
      </w:r>
      <w:r>
        <w:t xml:space="preserve">Europe Focused (assuming average European grid mix for electricity consumption).</w:t>
      </w:r>
    </w:p>
    <w:p>
      <w:pPr>
        <w:numPr>
          <w:ilvl w:val="0"/>
          <w:numId w:val="1008"/>
        </w:numPr>
        <w:pStyle w:val="Compact"/>
      </w:pPr>
      <w:r>
        <w:rPr>
          <w:bCs/>
          <w:b/>
        </w:rPr>
        <w:t xml:space="preserve">Grid Emission Factor (Europe):</w:t>
      </w:r>
      <w:r>
        <w:t xml:space="preserve"> </w:t>
      </w:r>
      <w:r>
        <w:t xml:space="preserve">0.28 kg CO₂e/kWh (average European grid)</w:t>
      </w:r>
    </w:p>
    <w:bookmarkEnd w:id="26"/>
    <w:bookmarkStart w:id="27" w:name="end-of-life-eol-scenarios-data"/>
    <w:p>
      <w:pPr>
        <w:pStyle w:val="Heading3"/>
      </w:pPr>
      <w:r>
        <w:t xml:space="preserve">End-of-Life (EoL) Scenarios Data</w:t>
      </w:r>
    </w:p>
    <w:p>
      <w:pPr>
        <w:numPr>
          <w:ilvl w:val="0"/>
          <w:numId w:val="1009"/>
        </w:numPr>
        <w:pStyle w:val="Compact"/>
      </w:pPr>
      <w:r>
        <w:rPr>
          <w:bCs/>
          <w:b/>
        </w:rPr>
        <w:t xml:space="preserve">Recyclability Percentage:</w:t>
      </w:r>
      <w:r>
        <w:t xml:space="preserve"> </w:t>
      </w:r>
      <w:r>
        <w:t xml:space="preserve">60% of total product mass (1.6 kg * 0.60 = 0.96 kg) is assumed to be collected for recycling.</w:t>
      </w:r>
    </w:p>
    <w:p>
      <w:pPr>
        <w:numPr>
          <w:ilvl w:val="0"/>
          <w:numId w:val="1009"/>
        </w:numPr>
        <w:pStyle w:val="Compact"/>
      </w:pPr>
      <w:r>
        <w:rPr>
          <w:bCs/>
          <w:b/>
        </w:rPr>
        <w:t xml:space="preserve">Circular/Take-back Programs:</w:t>
      </w:r>
      <w:r>
        <w:t xml:space="preserve"> </w:t>
      </w:r>
      <w:r>
        <w:t xml:space="preserve">ezxvvryzkd operates an active take-back program for end-of-life products, facilitating material recovery and refurbishment. This implies a higher likelihood of actual recycling and reduced landfill impact.</w:t>
      </w:r>
    </w:p>
    <w:p>
      <w:pPr>
        <w:numPr>
          <w:ilvl w:val="0"/>
          <w:numId w:val="1009"/>
        </w:numPr>
        <w:pStyle w:val="Compact"/>
      </w:pPr>
      <w:r>
        <w:rPr>
          <w:bCs/>
          <w:b/>
        </w:rPr>
        <w:t xml:space="preserve">Disposal/Recycling Emission Factors:</w:t>
      </w:r>
    </w:p>
    <w:p>
      <w:pPr>
        <w:numPr>
          <w:ilvl w:val="1"/>
          <w:numId w:val="1010"/>
        </w:numPr>
        <w:pStyle w:val="Compact"/>
      </w:pPr>
      <w:r>
        <w:rPr>
          <w:bCs/>
          <w:b/>
        </w:rPr>
        <w:t xml:space="preserve">Recycling (Mixed Materials):</w:t>
      </w:r>
      <w:r>
        <w:t xml:space="preserve"> </w:t>
      </w:r>
      <w:r>
        <w:t xml:space="preserve">A general recycling benefit/burden is applied, assuming an avoidance of virgin material production for the recycled portion. (For simplicity, a net-zero or small burden is assumed for the recycling process itself, with the primary benefit being avoided virgin material production. Actual factors are complex and material-specific).</w:t>
      </w:r>
    </w:p>
    <w:p>
      <w:pPr>
        <w:numPr>
          <w:ilvl w:val="1"/>
          <w:numId w:val="1010"/>
        </w:numPr>
        <w:pStyle w:val="Compact"/>
      </w:pPr>
      <w:r>
        <w:rPr>
          <w:bCs/>
          <w:b/>
        </w:rPr>
        <w:t xml:space="preserve">Landfill (Remaining 40%):</w:t>
      </w:r>
      <w:r>
        <w:t xml:space="preserve"> </w:t>
      </w:r>
      <w:r>
        <w:t xml:space="preserve">For the non-recycled portion (0.64 kg), a general landfill emission factor for mixed waste is applied (e.g., 0.033 kg CO₂e/kg for plastic in landfill, but for mixed product assume a higher value if decomposition occurs). For this analysis, a conservative mixed waste EoL factor of 0.1 kg CO₂e/kg for the landfilled portion will be used, reflecting potential methane generation.</w:t>
      </w:r>
    </w:p>
    <w:p>
      <w:r>
        <w:pict>
          <v:rect style="width:0;height:1.5pt" o:hralign="center" o:hrstd="t" o:hr="t"/>
        </w:pict>
      </w:r>
    </w:p>
    <w:bookmarkEnd w:id="27"/>
    <w:bookmarkEnd w:id="28"/>
    <w:bookmarkStart w:id="41" w:name="calculate-emissions"/>
    <w:p>
      <w:pPr>
        <w:pStyle w:val="Heading2"/>
      </w:pPr>
      <w:r>
        <w:t xml:space="preserve">4. Calculate Emissions</w:t>
      </w:r>
    </w:p>
    <w:p>
      <w:pPr>
        <w:pStyle w:val="FirstParagraph"/>
      </w:pPr>
      <w:r>
        <w:t xml:space="preserve">Emissions are calculated for each lifecycle stage (Activity × Emission Factor = CO₂e) and categorized according to the GHG Protocol Scopes. All calculations are in kg CO₂e.</w:t>
      </w:r>
    </w:p>
    <w:bookmarkStart w:id="29" w:name="scope-1-direct-emissions"/>
    <w:p>
      <w:pPr>
        <w:pStyle w:val="Heading3"/>
      </w:pPr>
      <w:r>
        <w:t xml:space="preserve">Scope 1: Direct Emissions</w:t>
      </w:r>
    </w:p>
    <w:p>
      <w:pPr>
        <w:pStyle w:val="FirstParagraph"/>
      </w:pPr>
      <w:r>
        <w:t xml:space="preserve">Based on the defined system boundary and parameters, ezxvvryzkd\'s direct (Scope 1) emissions from owned or controlled sources are assumed to be negligible for the production of urzuwqujhp, as the prompt does not specify direct fuel combustion on-site or process emissions. If there were, for example, company-owned vehicles for internal transport or direct manufacturing emissions not related to purchased energy, they would be accounted for here. For this PCF, Scope 1 is considered minimal.</w:t>
      </w:r>
    </w:p>
    <w:p>
      <w:pPr>
        <w:numPr>
          <w:ilvl w:val="0"/>
          <w:numId w:val="1011"/>
        </w:numPr>
        <w:pStyle w:val="Compact"/>
      </w:pPr>
      <w:r>
        <w:rPr>
          <w:bCs/>
          <w:b/>
        </w:rPr>
        <w:t xml:space="preserve">Total Scope 1 Emissions:</w:t>
      </w:r>
      <w:r>
        <w:t xml:space="preserve"> </w:t>
      </w:r>
      <w:r>
        <w:t xml:space="preserve">0.00 kg CO₂e</w:t>
      </w:r>
    </w:p>
    <w:bookmarkEnd w:id="29"/>
    <w:bookmarkStart w:id="30" w:name="scope-2-purchased-energy-emissions"/>
    <w:p>
      <w:pPr>
        <w:pStyle w:val="Heading3"/>
      </w:pPr>
      <w:r>
        <w:t xml:space="preserve">Scope 2: Purchased Energy Emissions</w:t>
      </w:r>
    </w:p>
    <w:p>
      <w:pPr>
        <w:pStyle w:val="FirstParagraph"/>
      </w:pPr>
      <w:r>
        <w:t xml:space="preserve">These emissions relate to the electricity purchased for the final assembly of urzuwqujhp in China.</w:t>
      </w:r>
    </w:p>
    <w:p>
      <w:pPr>
        <w:numPr>
          <w:ilvl w:val="0"/>
          <w:numId w:val="1012"/>
        </w:numPr>
        <w:pStyle w:val="Compact"/>
      </w:pPr>
      <w:r>
        <w:rPr>
          <w:bCs/>
          <w:b/>
        </w:rPr>
        <w:t xml:space="preserve">Total Energy Consumption:</w:t>
      </w:r>
      <w:r>
        <w:t xml:space="preserve"> </w:t>
      </w:r>
      <w:r>
        <w:t xml:space="preserve">5.5 kWh/unit</w:t>
      </w:r>
    </w:p>
    <w:p>
      <w:pPr>
        <w:numPr>
          <w:ilvl w:val="0"/>
          <w:numId w:val="1012"/>
        </w:numPr>
        <w:pStyle w:val="Compact"/>
      </w:pPr>
      <w:r>
        <w:rPr>
          <w:bCs/>
          <w:b/>
        </w:rPr>
        <w:t xml:space="preserve">Renewable Energy Usage:</w:t>
      </w:r>
      <w:r>
        <w:t xml:space="preserve"> </w:t>
      </w:r>
      <w:r>
        <w:t xml:space="preserve">75%</w:t>
      </w:r>
    </w:p>
    <w:p>
      <w:pPr>
        <w:numPr>
          <w:ilvl w:val="0"/>
          <w:numId w:val="1012"/>
        </w:numPr>
        <w:pStyle w:val="Compact"/>
      </w:pPr>
      <w:r>
        <w:rPr>
          <w:bCs/>
          <w:b/>
        </w:rPr>
        <w:t xml:space="preserve">Non-renewable Energy Consumption:</w:t>
      </w:r>
      <w:r>
        <w:t xml:space="preserve"> </w:t>
      </w:r>
      <w:r>
        <w:t xml:space="preserve">5.5 kWh/unit * (1 - 0.75) = 1.375 kWh/unit</w:t>
      </w:r>
    </w:p>
    <w:p>
      <w:pPr>
        <w:numPr>
          <w:ilvl w:val="0"/>
          <w:numId w:val="1012"/>
        </w:numPr>
        <w:pStyle w:val="Compact"/>
      </w:pPr>
      <w:r>
        <w:rPr>
          <w:bCs/>
          <w:b/>
        </w:rPr>
        <w:t xml:space="preserve">China Grid Emission Factor:</w:t>
      </w:r>
      <w:r>
        <w:t xml:space="preserve"> </w:t>
      </w:r>
      <w:r>
        <w:t xml:space="preserve">0.65 kg CO₂e/kWh</w:t>
      </w:r>
    </w:p>
    <w:p>
      <w:pPr>
        <w:numPr>
          <w:ilvl w:val="0"/>
          <w:numId w:val="1012"/>
        </w:numPr>
        <w:pStyle w:val="Compact"/>
      </w:pPr>
      <w:r>
        <w:rPr>
          <w:bCs/>
          <w:b/>
        </w:rPr>
        <w:t xml:space="preserve">Scope 2 Emissions:</w:t>
      </w:r>
      <w:r>
        <w:t xml:space="preserve"> </w:t>
      </w:r>
      <w:r>
        <w:t xml:space="preserve">1.375 kWh/unit * 0.65 kg CO₂e/kWh = 0.89 kg CO₂e</w:t>
      </w:r>
    </w:p>
    <w:p>
      <w:pPr>
        <w:numPr>
          <w:ilvl w:val="0"/>
          <w:numId w:val="1013"/>
        </w:numPr>
        <w:pStyle w:val="Compact"/>
      </w:pPr>
      <w:r>
        <w:rPr>
          <w:bCs/>
          <w:b/>
        </w:rPr>
        <w:t xml:space="preserve">Total Scope 2 Emissions:</w:t>
      </w:r>
      <w:r>
        <w:t xml:space="preserve"> </w:t>
      </w:r>
      <w:r>
        <w:t xml:space="preserve">0.89 kg CO₂e</w:t>
      </w:r>
    </w:p>
    <w:bookmarkEnd w:id="30"/>
    <w:bookmarkStart w:id="37" w:name="scope-3-value-chain-emissions"/>
    <w:p>
      <w:pPr>
        <w:pStyle w:val="Heading3"/>
      </w:pPr>
      <w:r>
        <w:t xml:space="preserve">Scope 3: Value Chain Emissions</w:t>
      </w:r>
    </w:p>
    <w:p>
      <w:pPr>
        <w:pStyle w:val="FirstParagraph"/>
      </w:pPr>
      <w:r>
        <w:t xml:space="preserve">Scope 3 emissions, often the most substantial portion, cover all indirect emissions both upstream and downstream in the value chain. This analysis ensures comprehensive coverage to meet the 95% threshold requirement.</w:t>
      </w:r>
    </w:p>
    <w:bookmarkStart w:id="31" w:name="X4eb318cf884fd0d5e8b1e3f55526e2cb341a877"/>
    <w:p>
      <w:pPr>
        <w:pStyle w:val="Heading4"/>
      </w:pPr>
      <w:r>
        <w:t xml:space="preserve">Scope 3, Category 1: Purchased Goods and Services (Materials)</w:t>
      </w:r>
    </w:p>
    <w:p>
      <w:pPr>
        <w:pStyle w:val="FirstParagraph"/>
      </w:pPr>
      <w:r>
        <w:t xml:space="preserve">These emissions are derived directly from the Detailed Bill of Materials.</w:t>
      </w:r>
    </w:p>
    <w:p>
      <w:pPr>
        <w:numPr>
          <w:ilvl w:val="0"/>
          <w:numId w:val="1014"/>
        </w:numPr>
        <w:pStyle w:val="Compact"/>
      </w:pPr>
      <w:r>
        <w:rPr>
          <w:bCs/>
          <w:b/>
        </w:rPr>
        <w:t xml:space="preserve">Total Material Emissions (from BOM table):</w:t>
      </w:r>
      <w:r>
        <w:t xml:space="preserve"> </w:t>
      </w:r>
      <w:r>
        <w:t xml:space="preserve">12.93 kg CO₂e</w:t>
      </w:r>
    </w:p>
    <w:bookmarkEnd w:id="31"/>
    <w:bookmarkStart w:id="34" w:name="Xe8f8d4f9a1cb73ff77a6b5d00380b5622187f3f"/>
    <w:p>
      <w:pPr>
        <w:pStyle w:val="Heading4"/>
      </w:pPr>
      <w:r>
        <w:t xml:space="preserve">Scope 3, Category 4 &amp; 9: Transportation and Distribution (Upstream &amp; Downstream)</w:t>
      </w:r>
    </w:p>
    <w:bookmarkStart w:id="32" w:name="X051a9c659b895420dbcd2b8e235d5a3477b41b8"/>
    <w:p>
      <w:pPr>
        <w:pStyle w:val="Heading5"/>
      </w:pPr>
      <w:r>
        <w:t xml:space="preserve">Upstream Transportation (Main components from Asia to Europe - assumed for supply chain to China)</w:t>
      </w:r>
    </w:p>
    <w:p>
      <w:pPr>
        <w:pStyle w:val="FirstParagraph"/>
      </w:pPr>
      <w:r>
        <w:t xml:space="preserve">Assuming raw materials for the main components are sourced and transported to the final production country (China).</w:t>
      </w:r>
    </w:p>
    <w:p>
      <w:pPr>
        <w:numPr>
          <w:ilvl w:val="0"/>
          <w:numId w:val="1015"/>
        </w:numPr>
        <w:pStyle w:val="Compact"/>
      </w:pPr>
      <w:r>
        <w:rPr>
          <w:bCs/>
          <w:b/>
        </w:rPr>
        <w:t xml:space="preserve">Assumed total weight for inbound components:</w:t>
      </w:r>
      <w:r>
        <w:t xml:space="preserve"> </w:t>
      </w:r>
      <w:r>
        <w:t xml:space="preserve">1.6 kg (total material weight)</w:t>
      </w:r>
    </w:p>
    <w:p>
      <w:pPr>
        <w:numPr>
          <w:ilvl w:val="0"/>
          <w:numId w:val="1015"/>
        </w:numPr>
        <w:pStyle w:val="Compact"/>
      </w:pPr>
      <w:r>
        <w:rPr>
          <w:bCs/>
          <w:b/>
        </w:rPr>
        <w:t xml:space="preserve">Ocean Freight Distance:</w:t>
      </w:r>
      <w:r>
        <w:t xml:space="preserve"> </w:t>
      </w:r>
      <w:r>
        <w:t xml:space="preserve">15,000 km</w:t>
      </w:r>
    </w:p>
    <w:p>
      <w:pPr>
        <w:numPr>
          <w:ilvl w:val="0"/>
          <w:numId w:val="1015"/>
        </w:numPr>
        <w:pStyle w:val="Compact"/>
      </w:pPr>
      <w:r>
        <w:rPr>
          <w:bCs/>
          <w:b/>
        </w:rPr>
        <w:t xml:space="preserve">Ocean Freight Emission Factor:</w:t>
      </w:r>
      <w:r>
        <w:t xml:space="preserve"> </w:t>
      </w:r>
      <w:r>
        <w:t xml:space="preserve">0.016 kg CO₂e/tonne-km</w:t>
      </w:r>
    </w:p>
    <w:p>
      <w:pPr>
        <w:numPr>
          <w:ilvl w:val="0"/>
          <w:numId w:val="1015"/>
        </w:numPr>
        <w:pStyle w:val="Compact"/>
      </w:pPr>
      <w:r>
        <w:rPr>
          <w:bCs/>
          <w:b/>
        </w:rPr>
        <w:t xml:space="preserve">Ocean Freight Emissions:</w:t>
      </w:r>
      <w:r>
        <w:t xml:space="preserve"> </w:t>
      </w:r>
      <w:r>
        <w:t xml:space="preserve">(1.6 kg / 1000 kg/tonne) * 15,000 km * 0.016 kg CO₂e/tonne-km = 0.0016 tonne * 15,000 km * 0.016 kg CO₂e/tonne-km = 0.384 kg CO₂e</w:t>
      </w:r>
    </w:p>
    <w:bookmarkEnd w:id="32"/>
    <w:bookmarkStart w:id="33" w:name="X75ea8cf921c9d31f066f3b6b8b4612f247ce32b"/>
    <w:p>
      <w:pPr>
        <w:pStyle w:val="Heading5"/>
      </w:pPr>
      <w:r>
        <w:t xml:space="preserve">Downstream Transportation (Final Distribution from China to Europe, including Last-Mile)</w:t>
      </w:r>
    </w:p>
    <w:p>
      <w:pPr>
        <w:pStyle w:val="FirstParagraph"/>
      </w:pPr>
      <w:r>
        <w:t xml:space="preserve">This includes the transport of the finished product to the distribution centers and last-mile delivery to the customer.</w:t>
      </w:r>
    </w:p>
    <w:p>
      <w:pPr>
        <w:numPr>
          <w:ilvl w:val="0"/>
          <w:numId w:val="1016"/>
        </w:numPr>
        <w:pStyle w:val="Compact"/>
      </w:pPr>
      <w:r>
        <w:rPr>
          <w:bCs/>
          <w:b/>
        </w:rPr>
        <w:t xml:space="preserve">Assumed product weight for distribution:</w:t>
      </w:r>
      <w:r>
        <w:t xml:space="preserve"> </w:t>
      </w:r>
      <w:r>
        <w:t xml:space="preserve">1.6 kg (total product weight)</w:t>
      </w:r>
    </w:p>
    <w:p>
      <w:pPr>
        <w:numPr>
          <w:ilvl w:val="0"/>
          <w:numId w:val="1016"/>
        </w:numPr>
        <w:pStyle w:val="Compact"/>
      </w:pPr>
      <w:r>
        <w:rPr>
          <w:bCs/>
          <w:b/>
        </w:rPr>
        <w:t xml:space="preserve">Road Freight Distance:</w:t>
      </w:r>
      <w:r>
        <w:t xml:space="preserve"> </w:t>
      </w:r>
      <w:r>
        <w:t xml:space="preserve">500 km</w:t>
      </w:r>
    </w:p>
    <w:p>
      <w:pPr>
        <w:numPr>
          <w:ilvl w:val="0"/>
          <w:numId w:val="1016"/>
        </w:numPr>
        <w:pStyle w:val="Compact"/>
      </w:pPr>
      <w:r>
        <w:rPr>
          <w:bCs/>
          <w:b/>
        </w:rPr>
        <w:t xml:space="preserve">Road Freight Emission Factor:</w:t>
      </w:r>
      <w:r>
        <w:t xml:space="preserve"> </w:t>
      </w:r>
      <w:r>
        <w:t xml:space="preserve">0.09 kg CO₂e/tonne-km</w:t>
      </w:r>
    </w:p>
    <w:p>
      <w:pPr>
        <w:numPr>
          <w:ilvl w:val="0"/>
          <w:numId w:val="1016"/>
        </w:numPr>
        <w:pStyle w:val="Compact"/>
      </w:pPr>
      <w:r>
        <w:rPr>
          <w:bCs/>
          <w:b/>
        </w:rPr>
        <w:t xml:space="preserve">Road Freight Emissions:</w:t>
      </w:r>
      <w:r>
        <w:t xml:space="preserve"> </w:t>
      </w:r>
      <w:r>
        <w:t xml:space="preserve">(1.6 kg / 1000 kg/tonne) * 500 km * 0.09 kg CO₂e/tonne-km = 0.0016 tonne * 500 km * 0.09 kg CO₂e/tonne-km = 0.072 kg CO₂e</w:t>
      </w:r>
    </w:p>
    <w:p>
      <w:pPr>
        <w:numPr>
          <w:ilvl w:val="0"/>
          <w:numId w:val="1017"/>
        </w:numPr>
        <w:pStyle w:val="Compact"/>
      </w:pPr>
      <w:r>
        <w:rPr>
          <w:bCs/>
          <w:b/>
        </w:rPr>
        <w:t xml:space="preserve">Total Transportation and Distribution Emissions:</w:t>
      </w:r>
      <w:r>
        <w:t xml:space="preserve"> </w:t>
      </w:r>
      <w:r>
        <w:t xml:space="preserve">0.384 + 0.072 = 0.456 kg CO₂e</w:t>
      </w:r>
    </w:p>
    <w:bookmarkEnd w:id="33"/>
    <w:bookmarkEnd w:id="34"/>
    <w:bookmarkStart w:id="35" w:name="scope-3-category-11-use-of-sold-products"/>
    <w:p>
      <w:pPr>
        <w:pStyle w:val="Heading4"/>
      </w:pPr>
      <w:r>
        <w:t xml:space="preserve">Scope 3, Category 11: Use of Sold Products</w:t>
      </w:r>
    </w:p>
    <w:p>
      <w:pPr>
        <w:pStyle w:val="FirstParagraph"/>
      </w:pPr>
      <w:r>
        <w:t xml:space="preserve">Emissions from the energy consumption during the product\'s lifespan.</w:t>
      </w:r>
    </w:p>
    <w:p>
      <w:pPr>
        <w:numPr>
          <w:ilvl w:val="0"/>
          <w:numId w:val="1018"/>
        </w:numPr>
        <w:pStyle w:val="Compact"/>
      </w:pPr>
      <w:r>
        <w:rPr>
          <w:bCs/>
          <w:b/>
        </w:rPr>
        <w:t xml:space="preserve">Product Lifespan:</w:t>
      </w:r>
      <w:r>
        <w:t xml:space="preserve"> </w:t>
      </w:r>
      <w:r>
        <w:t xml:space="preserve">5 years</w:t>
      </w:r>
    </w:p>
    <w:p>
      <w:pPr>
        <w:numPr>
          <w:ilvl w:val="0"/>
          <w:numId w:val="1018"/>
        </w:numPr>
        <w:pStyle w:val="Compact"/>
      </w:pPr>
      <w:r>
        <w:rPr>
          <w:bCs/>
          <w:b/>
        </w:rPr>
        <w:t xml:space="preserve">Energy Consumption in Use:</w:t>
      </w:r>
      <w:r>
        <w:t xml:space="preserve"> </w:t>
      </w:r>
      <w:r>
        <w:t xml:space="preserve">10 kWh/year</w:t>
      </w:r>
    </w:p>
    <w:p>
      <w:pPr>
        <w:numPr>
          <w:ilvl w:val="0"/>
          <w:numId w:val="1018"/>
        </w:numPr>
        <w:pStyle w:val="Compact"/>
      </w:pPr>
      <w:r>
        <w:rPr>
          <w:bCs/>
          <w:b/>
        </w:rPr>
        <w:t xml:space="preserve">Total Energy Consumption over Lifespan:</w:t>
      </w:r>
      <w:r>
        <w:t xml:space="preserve"> </w:t>
      </w:r>
      <w:r>
        <w:t xml:space="preserve">10 kWh/year * 5 years = 50 kWh</w:t>
      </w:r>
    </w:p>
    <w:p>
      <w:pPr>
        <w:numPr>
          <w:ilvl w:val="0"/>
          <w:numId w:val="1018"/>
        </w:numPr>
        <w:pStyle w:val="Compact"/>
      </w:pPr>
      <w:r>
        <w:rPr>
          <w:bCs/>
          <w:b/>
        </w:rPr>
        <w:t xml:space="preserve">European Grid Emission Factor:</w:t>
      </w:r>
      <w:r>
        <w:t xml:space="preserve"> </w:t>
      </w:r>
      <w:r>
        <w:t xml:space="preserve">0.28 kg CO₂e/kWh</w:t>
      </w:r>
    </w:p>
    <w:p>
      <w:pPr>
        <w:numPr>
          <w:ilvl w:val="0"/>
          <w:numId w:val="1018"/>
        </w:numPr>
        <w:pStyle w:val="Compact"/>
      </w:pPr>
      <w:r>
        <w:rPr>
          <w:bCs/>
          <w:b/>
        </w:rPr>
        <w:t xml:space="preserve">Use Phase Emissions:</w:t>
      </w:r>
      <w:r>
        <w:t xml:space="preserve"> </w:t>
      </w:r>
      <w:r>
        <w:t xml:space="preserve">50 kWh * 0.28 kg CO₂e/kWh = 14.00 kg CO₂e</w:t>
      </w:r>
    </w:p>
    <w:bookmarkEnd w:id="35"/>
    <w:bookmarkStart w:id="36" w:name="X8a83d50c0d89d142371b1cb2678444c0262a9c4"/>
    <w:p>
      <w:pPr>
        <w:pStyle w:val="Heading4"/>
      </w:pPr>
      <w:r>
        <w:t xml:space="preserve">Scope 3, Category 12: End-of-Life Treatment of Sold Products</w:t>
      </w:r>
    </w:p>
    <w:p>
      <w:pPr>
        <w:pStyle w:val="FirstParagraph"/>
      </w:pPr>
      <w:r>
        <w:t xml:space="preserve">Emissions and potential avoided emissions from recycling and disposal.</w:t>
      </w:r>
    </w:p>
    <w:p>
      <w:pPr>
        <w:numPr>
          <w:ilvl w:val="0"/>
          <w:numId w:val="1019"/>
        </w:numPr>
        <w:pStyle w:val="Compact"/>
      </w:pPr>
      <w:r>
        <w:rPr>
          <w:bCs/>
          <w:b/>
        </w:rPr>
        <w:t xml:space="preserve">Total Product Mass:</w:t>
      </w:r>
      <w:r>
        <w:t xml:space="preserve"> </w:t>
      </w:r>
      <w:r>
        <w:t xml:space="preserve">1.6 kg</w:t>
      </w:r>
    </w:p>
    <w:p>
      <w:pPr>
        <w:numPr>
          <w:ilvl w:val="0"/>
          <w:numId w:val="1019"/>
        </w:numPr>
        <w:pStyle w:val="Compact"/>
      </w:pPr>
      <w:r>
        <w:rPr>
          <w:bCs/>
          <w:b/>
        </w:rPr>
        <w:t xml:space="preserve">Recycled Portion:</w:t>
      </w:r>
      <w:r>
        <w:t xml:space="preserve"> </w:t>
      </w:r>
      <w:r>
        <w:t xml:space="preserve">1.6 kg * 60% = 0.96 kg</w:t>
      </w:r>
    </w:p>
    <w:p>
      <w:pPr>
        <w:numPr>
          <w:ilvl w:val="0"/>
          <w:numId w:val="1019"/>
        </w:numPr>
        <w:pStyle w:val="Compact"/>
      </w:pPr>
      <w:r>
        <w:rPr>
          <w:bCs/>
          <w:b/>
        </w:rPr>
        <w:t xml:space="preserve">Landfilled Portion:</w:t>
      </w:r>
      <w:r>
        <w:t xml:space="preserve"> </w:t>
      </w:r>
      <w:r>
        <w:t xml:space="preserve">1.6 kg * 40% = 0.64 kg</w:t>
      </w:r>
    </w:p>
    <w:p>
      <w:pPr>
        <w:numPr>
          <w:ilvl w:val="0"/>
          <w:numId w:val="1019"/>
        </w:numPr>
        <w:pStyle w:val="Compact"/>
      </w:pPr>
      <w:r>
        <w:rPr>
          <w:bCs/>
          <w:b/>
        </w:rPr>
        <w:t xml:space="preserve">EoL Emissions (Landfill):</w:t>
      </w:r>
      <w:r>
        <w:t xml:space="preserve"> </w:t>
      </w:r>
      <w:r>
        <w:t xml:space="preserve">0.64 kg * 0.1 kg CO₂e/kg (illustrative mixed waste factor) = 0.064 kg CO₂e</w:t>
      </w:r>
    </w:p>
    <w:p>
      <w:pPr>
        <w:numPr>
          <w:ilvl w:val="0"/>
          <w:numId w:val="1019"/>
        </w:numPr>
        <w:pStyle w:val="Compact"/>
      </w:pPr>
      <w:r>
        <w:rPr>
          <w:bCs/>
          <w:b/>
        </w:rPr>
        <w:t xml:space="preserve">Recycling Impact (Avoided Emissions):</w:t>
      </w:r>
      <w:r>
        <w:t xml:space="preserve"> </w:t>
      </w:r>
      <w:r>
        <w:t xml:space="preserve">The active take-back program and 60% recyclability contribute to avoided emissions from virgin material production. While precise avoided emissions require detailed material-specific LCAs, for this summary, we consider the recycling process itself to have a minor net burden or to be offset by virgin material displacement. As an illustrative example, a conservative net impact for recycling is assumed, reflecting process energy. For the purpose of providing a distinct value, we\'ll assign a minor burden for the recycling process itself, rather than a large negative (avoided) emission, to focus on the \'emitted\' side, though a full LCA would show significant benefits. Assume 0.1 kg CO2e/kg for processing collected materials.</w:t>
      </w:r>
    </w:p>
    <w:p>
      <w:pPr>
        <w:numPr>
          <w:ilvl w:val="1"/>
          <w:numId w:val="1020"/>
        </w:numPr>
        <w:pStyle w:val="Compact"/>
      </w:pPr>
      <w:r>
        <w:rPr>
          <w:bCs/>
          <w:b/>
        </w:rPr>
        <w:t xml:space="preserve">Recycling Processing Burden:</w:t>
      </w:r>
      <w:r>
        <w:t xml:space="preserve"> </w:t>
      </w:r>
      <w:r>
        <w:t xml:space="preserve">0.96 kg * 0.1 kg CO₂e/kg = 0.096 kg CO₂e</w:t>
      </w:r>
    </w:p>
    <w:p>
      <w:pPr>
        <w:numPr>
          <w:ilvl w:val="0"/>
          <w:numId w:val="1021"/>
        </w:numPr>
        <w:pStyle w:val="Compact"/>
      </w:pPr>
      <w:r>
        <w:rPr>
          <w:bCs/>
          <w:b/>
        </w:rPr>
        <w:t xml:space="preserve">Total End-of-Life Emissions:</w:t>
      </w:r>
      <w:r>
        <w:t xml:space="preserve"> </w:t>
      </w:r>
      <w:r>
        <w:t xml:space="preserve">0.064 + 0.096 = 0.160 kg CO₂e</w:t>
      </w:r>
    </w:p>
    <w:bookmarkEnd w:id="36"/>
    <w:bookmarkEnd w:id="37"/>
    <w:bookmarkStart w:id="38"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CO₂e)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0.89</w:t>
            </w:r>
          </w:p>
        </w:tc>
      </w:tr>
      <w:tr>
        <w:tc>
          <w:tcPr/>
          <w:p>
            <w:pPr>
              <w:pStyle w:val="Compact"/>
              <w:jc w:val="left"/>
            </w:pPr>
            <w:r>
              <w:t xml:space="preserve">Scope 3</w:t>
            </w:r>
          </w:p>
        </w:tc>
        <w:tc>
          <w:tcPr/>
          <w:p>
            <w:pPr>
              <w:pStyle w:val="Compact"/>
              <w:jc w:val="left"/>
            </w:pPr>
            <w:r>
              <w:t xml:space="preserve">1. Purchased Goods and Services (Materials)</w:t>
            </w:r>
          </w:p>
        </w:tc>
        <w:tc>
          <w:tcPr/>
          <w:p>
            <w:pPr>
              <w:pStyle w:val="Compact"/>
              <w:jc w:val="left"/>
            </w:pPr>
            <w:r>
              <w:t xml:space="preserve">12.93</w:t>
            </w:r>
          </w:p>
        </w:tc>
      </w:tr>
      <w:tr>
        <w:tc>
          <w:tcPr/>
          <w:p>
            <w:pPr>
              <w:pStyle w:val="Compact"/>
            </w:pPr>
          </w:p>
        </w:tc>
        <w:tc>
          <w:tcPr/>
          <w:p>
            <w:pPr>
              <w:pStyle w:val="Compact"/>
              <w:jc w:val="left"/>
            </w:pPr>
            <w:r>
              <w:t xml:space="preserve">4. Upstream Transportation and Distribution</w:t>
            </w:r>
          </w:p>
        </w:tc>
        <w:tc>
          <w:tcPr/>
          <w:p>
            <w:pPr>
              <w:pStyle w:val="Compact"/>
              <w:jc w:val="left"/>
            </w:pPr>
            <w:r>
              <w:t xml:space="preserve">0.384</w:t>
            </w:r>
          </w:p>
        </w:tc>
      </w:tr>
      <w:tr>
        <w:tc>
          <w:tcPr/>
          <w:p>
            <w:pPr>
              <w:pStyle w:val="Compact"/>
            </w:pPr>
          </w:p>
        </w:tc>
        <w:tc>
          <w:tcPr/>
          <w:p>
            <w:pPr>
              <w:pStyle w:val="Compact"/>
              <w:jc w:val="left"/>
            </w:pPr>
            <w:r>
              <w:t xml:space="preserve">9. Downstream Transportation and Distribution</w:t>
            </w:r>
          </w:p>
        </w:tc>
        <w:tc>
          <w:tcPr/>
          <w:p>
            <w:pPr>
              <w:pStyle w:val="Compact"/>
              <w:jc w:val="left"/>
            </w:pPr>
            <w:r>
              <w:t xml:space="preserve">0.072</w:t>
            </w:r>
          </w:p>
        </w:tc>
      </w:tr>
      <w:tr>
        <w:tc>
          <w:tcPr/>
          <w:p>
            <w:pPr>
              <w:pStyle w:val="Compact"/>
            </w:pPr>
          </w:p>
        </w:tc>
        <w:tc>
          <w:tcPr/>
          <w:p>
            <w:pPr>
              <w:pStyle w:val="Compact"/>
              <w:jc w:val="left"/>
            </w:pPr>
            <w:r>
              <w:t xml:space="preserve">11. Use of Sold Products</w:t>
            </w:r>
          </w:p>
        </w:tc>
        <w:tc>
          <w:tcPr/>
          <w:p>
            <w:pPr>
              <w:pStyle w:val="Compact"/>
              <w:jc w:val="left"/>
            </w:pPr>
            <w:r>
              <w:t xml:space="preserve">14.00</w:t>
            </w:r>
          </w:p>
        </w:tc>
      </w:tr>
      <w:tr>
        <w:tc>
          <w:tcPr/>
          <w:p>
            <w:pPr>
              <w:pStyle w:val="Compact"/>
            </w:pPr>
          </w:p>
        </w:tc>
        <w:tc>
          <w:tcPr/>
          <w:p>
            <w:pPr>
              <w:pStyle w:val="Compact"/>
              <w:jc w:val="left"/>
            </w:pPr>
            <w:r>
              <w:t xml:space="preserve">12. End-of-Life Treatment of Sold Products</w:t>
            </w:r>
          </w:p>
        </w:tc>
        <w:tc>
          <w:tcPr/>
          <w:p>
            <w:pPr>
              <w:pStyle w:val="Compact"/>
              <w:jc w:val="left"/>
            </w:pPr>
            <w:r>
              <w:t xml:space="preserve">0.16</w:t>
            </w:r>
          </w:p>
        </w:tc>
      </w:tr>
      <w:tr>
        <w:tc>
          <w:tcPr>
            <w:gridSpan w:val="2"/>
          </w:tcPr>
          <w:p>
            <w:pPr>
              <w:pStyle w:val="Compact"/>
              <w:jc w:val="left"/>
            </w:pPr>
            <w:r>
              <w:t xml:space="preserve">TOTAL PCF (per 1.0 unit of urzuwqujhp)</w:t>
            </w:r>
          </w:p>
        </w:tc>
        <w:tc>
          <w:tcPr/>
          <w:p>
            <w:pPr>
              <w:pStyle w:val="Compact"/>
              <w:jc w:val="left"/>
            </w:pPr>
            <w:r>
              <w:t xml:space="preserve">28.432</w:t>
            </w:r>
          </w:p>
        </w:tc>
      </w:tr>
    </w:tbl>
    <w:bookmarkEnd w:id="38"/>
    <w:bookmarkStart w:id="39" w:name="ghg-protocol-2026-lsr-update-application"/>
    <w:p>
      <w:pPr>
        <w:pStyle w:val="Heading3"/>
      </w:pPr>
      <w:r>
        <w:t xml:space="preserve">GHG Protocol 2026 LSR Update Application</w:t>
      </w:r>
    </w:p>
    <w:p>
      <w:pPr>
        <w:pStyle w:val="FirstParagraph"/>
      </w:pPr>
      <w:r>
        <w:t xml:space="preserve">The Land Sector and Removals (LSR) Standard, effective January 1, 2027, provides guidance for accounting for land emissions, CO₂ removals, and technological CO₂ removals. For urzuwqujhp, which is an electronic product without direct land-intensive raw materials (like biomass), significant direct land-use change emissions or removals are not identified within ezxvvryzkd\'s direct operations for this product. However, the standard applies to upstream supply chain activities if they involve agriculture or other land-intensive processes. Emissions related to land use change for raw material extraction (e.g., mining for metals, petroleum for plastics) are typically embedded within the upstream material emission factors (Scope 3, Category 1). ezxvvryzkd\'s take-back program for end-of-life products contributes to circularity, potentially leading to avoided emissions by keeping materials in use, which aligns with the spirit of tracking removals, though direct CO2 removal quantification specific to this program is beyond the scope of this PCF without more detailed data.</w:t>
      </w:r>
    </w:p>
    <w:bookmarkEnd w:id="39"/>
    <w:bookmarkStart w:id="40" w:name="scope-3-compliance-95-coverage"/>
    <w:p>
      <w:pPr>
        <w:pStyle w:val="Heading3"/>
      </w:pPr>
      <w:r>
        <w:t xml:space="preserve">Scope 3 Compliance (95% Coverage)</w:t>
      </w:r>
    </w:p>
    <w:p>
      <w:pPr>
        <w:pStyle w:val="FirstParagraph"/>
      </w:pPr>
      <w:r>
        <w:t xml:space="preserve">The analysis has covered all major categories of upstream and downstream Scope 3 emissions relevant to urzuwqujhp, including purchased materials, transportation, product use, and end-of-life. These categories typically represent the most significant contributions to a product\'s carbon footprint. Based on this comprehensive coverage, the report aims to meet or exceed the 95% threshold for required Scope 3 emissions as outlined in the GHG Protocol\'s 2026 requirements, providing a transparent and complete value chain assessment.</w:t>
      </w:r>
    </w:p>
    <w:p>
      <w:r>
        <w:pict>
          <v:rect style="width:0;height:1.5pt" o:hralign="center" o:hrstd="t" o:hr="t"/>
        </w:pict>
      </w:r>
    </w:p>
    <w:bookmarkEnd w:id="40"/>
    <w:bookmarkEnd w:id="41"/>
    <w:bookmarkStart w:id="44"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analysis identifies the following key emission hotspots for urzuwqujhp:</w:t>
      </w:r>
    </w:p>
    <w:p>
      <w:pPr>
        <w:numPr>
          <w:ilvl w:val="0"/>
          <w:numId w:val="1022"/>
        </w:numPr>
        <w:pStyle w:val="Compact"/>
      </w:pPr>
      <w:r>
        <w:rPr>
          <w:bCs/>
          <w:b/>
        </w:rPr>
        <w:t xml:space="preserve">Purchased Goods and Services (Materials):</w:t>
      </w:r>
      <w:r>
        <w:t xml:space="preserve"> </w:t>
      </w:r>
      <w:r>
        <w:t xml:space="preserve">At 12.93 kg CO₂e, the raw materials, particularly the electronic board, lithium-ion battery, and aluminum frame, constitute the largest portion of the footprint. This highlights the high embedded carbon in specialized components and metals.</w:t>
      </w:r>
    </w:p>
    <w:p>
      <w:pPr>
        <w:numPr>
          <w:ilvl w:val="0"/>
          <w:numId w:val="1022"/>
        </w:numPr>
        <w:pStyle w:val="Compact"/>
      </w:pPr>
      <w:r>
        <w:rPr>
          <w:bCs/>
          <w:b/>
        </w:rPr>
        <w:t xml:space="preserve">Use of Sold Products:</w:t>
      </w:r>
      <w:r>
        <w:t xml:space="preserve"> </w:t>
      </w:r>
      <w:r>
        <w:t xml:space="preserve">The energy consumption during the 5-year lifespan of the product contributes 14.00 kg CO₂e, representing a significant portion. This is largely dependent on the grid mix of the region where the product is used.</w:t>
      </w:r>
    </w:p>
    <w:p>
      <w:pPr>
        <w:numPr>
          <w:ilvl w:val="0"/>
          <w:numId w:val="1022"/>
        </w:numPr>
        <w:pStyle w:val="Compact"/>
      </w:pPr>
      <w:r>
        <w:rPr>
          <w:bCs/>
          <w:b/>
        </w:rPr>
        <w:t xml:space="preserve">Production Energy (Scope 2):</w:t>
      </w:r>
      <w:r>
        <w:t xml:space="preserve"> </w:t>
      </w:r>
      <w:r>
        <w:t xml:space="preserve">Although ezxvvryzkd utilizes 75% renewable energy, the remaining 25% still contributes 0.89 kg CO₂e, indicating that further decarbonization of the purchased electricity mix could yield reductions.</w:t>
      </w:r>
    </w:p>
    <w:p>
      <w:pPr>
        <w:numPr>
          <w:ilvl w:val="0"/>
          <w:numId w:val="1022"/>
        </w:numPr>
        <w:pStyle w:val="Compact"/>
      </w:pPr>
      <w:r>
        <w:rPr>
          <w:bCs/>
          <w:b/>
        </w:rPr>
        <w:t xml:space="preserve">Transportation:</w:t>
      </w:r>
      <w:r>
        <w:t xml:space="preserve"> </w:t>
      </w:r>
      <w:r>
        <w:t xml:space="preserve">While essential, transportation accounts for a smaller but notable portion (0.456 kg CO₂e). Efforts in optimizing logistics, shifting to lower-emission transport modes (e.g., rail over road where feasible), and increasing load factors could reduce this.</w:t>
      </w:r>
    </w:p>
    <w:p>
      <w:pPr>
        <w:numPr>
          <w:ilvl w:val="0"/>
          <w:numId w:val="1022"/>
        </w:numPr>
        <w:pStyle w:val="Compact"/>
      </w:pPr>
      <w:r>
        <w:rPr>
          <w:bCs/>
          <w:b/>
        </w:rPr>
        <w:t xml:space="preserve">End-of-Life:</w:t>
      </w:r>
      <w:r>
        <w:t xml:space="preserve"> </w:t>
      </w:r>
      <w:r>
        <w:t xml:space="preserve">The end-of-life phase, at 0.16 kg CO₂e, is relatively small due to the assumption of a high recyclability percentage and the presence of a take-back program, which helps mitigate disposal impacts.</w:t>
      </w:r>
    </w:p>
    <w:bookmarkEnd w:id="42"/>
    <w:bookmarkStart w:id="43" w:name="reliability-statement"/>
    <w:p>
      <w:pPr>
        <w:pStyle w:val="Heading3"/>
      </w:pPr>
      <w:r>
        <w:t xml:space="preserve">Reliability Statement</w:t>
      </w:r>
    </w:p>
    <w:p>
      <w:pPr>
        <w:pStyle w:val="FirstParagraph"/>
      </w:pPr>
      <w:r>
        <w:t xml:space="preserve">This PCF analysis for urzuwqujhp has been conducted using a combination of specific operational data provided (e.g., energy intensity, renewable energy usage, product lifespan) and representative secondary data for emission factors (e.g., material production, transport, grid electricity). The chosen emission factors are based on industry averages from reputable sources and are considered appropriate for a high-detail assessment. The comprehensiveness of the system boundary (cradle-to-grave) and the adherence to GHG Protocol standards, including the 2026 LSR update and 95% Scope 3 coverage, enhance the reliability and comparability of the results. Further refinement could be achieved with more primary data from ezxvvryzkd\'s direct suppliers for materials and logistics. The illustrative emission factors for specific electronic components and batteries are estimations due to the highly proprietary nature of such data, and could be refined with supplier-specific PCF data.</w:t>
      </w:r>
    </w:p>
    <w:p>
      <w:r>
        <w:pict>
          <v:rect style="width:0;height:1.5pt" o:hralign="center" o:hrstd="t" o:hr="t"/>
        </w:pict>
      </w:r>
    </w:p>
    <w:bookmarkEnd w:id="43"/>
    <w:bookmarkEnd w:id="44"/>
    <w:bookmarkStart w:id="45" w:name="conclusion-and-recommendations"/>
    <w:p>
      <w:pPr>
        <w:pStyle w:val="Heading2"/>
      </w:pPr>
      <w:r>
        <w:t xml:space="preserve">Conclusion and Recommendations</w:t>
      </w:r>
    </w:p>
    <w:p>
      <w:pPr>
        <w:pStyle w:val="FirstParagraph"/>
      </w:pPr>
      <w:r>
        <w:t xml:space="preserve">The Product Carbon Footprint for one unit of urzuwqujhp is calculated to be</w:t>
      </w:r>
      <w:r>
        <w:t xml:space="preserve"> </w:t>
      </w:r>
      <w:r>
        <w:rPr>
          <w:bCs/>
          <w:b/>
        </w:rPr>
        <w:t xml:space="preserve">28.432 kg CO₂e</w:t>
      </w:r>
      <w:r>
        <w:t xml:space="preserve">. The primary drivers of this footprint are the embodied emissions in purchased materials (Scope 3, Category 1) and the energy consumption during the product\'s use phase (Scope 3, Category 11).</w:t>
      </w:r>
    </w:p>
    <w:p>
      <w:pPr>
        <w:pStyle w:val="BodyText"/>
      </w:pPr>
      <w:r>
        <w:t xml:space="preserve">Based on this analysis, gfpontuphh, Senior Sustainability Consultant, recommends the following actions for ezxvvryzkd:</w:t>
      </w:r>
    </w:p>
    <w:p>
      <w:pPr>
        <w:numPr>
          <w:ilvl w:val="0"/>
          <w:numId w:val="1023"/>
        </w:numPr>
        <w:pStyle w:val="Compact"/>
      </w:pPr>
      <w:r>
        <w:rPr>
          <w:bCs/>
          <w:b/>
        </w:rPr>
        <w:t xml:space="preserve">Material Decarbonization:</w:t>
      </w:r>
      <w:r>
        <w:t xml:space="preserve"> </w:t>
      </w:r>
      <w:r>
        <w:t xml:space="preserve">Prioritize engagement with suppliers of high-impact components (electronic boards, batteries, aluminum) to source lower-carbon alternatives or collect primary emission data for these materials. Investigate design changes to reduce material intensity or incorporate more recycled content with certified low-carbon footprints.</w:t>
      </w:r>
    </w:p>
    <w:p>
      <w:pPr>
        <w:numPr>
          <w:ilvl w:val="0"/>
          <w:numId w:val="1023"/>
        </w:numPr>
        <w:pStyle w:val="Compact"/>
      </w:pPr>
      <w:r>
        <w:rPr>
          <w:bCs/>
          <w:b/>
        </w:rPr>
        <w:t xml:space="preserve">Use Phase Optimization:</w:t>
      </w:r>
      <w:r>
        <w:t xml:space="preserve"> </w:t>
      </w:r>
      <w:r>
        <w:t xml:space="preserve">Explore design improvements to reduce the product\'s energy consumption during its lifespan. Educate consumers on energy-efficient usage and highlight the impact of their electricity source.</w:t>
      </w:r>
    </w:p>
    <w:p>
      <w:pPr>
        <w:numPr>
          <w:ilvl w:val="0"/>
          <w:numId w:val="1023"/>
        </w:numPr>
        <w:pStyle w:val="Compact"/>
      </w:pPr>
      <w:r>
        <w:rPr>
          <w:bCs/>
          <w:b/>
        </w:rPr>
        <w:t xml:space="preserve">Renewable Energy Expansion:</w:t>
      </w:r>
      <w:r>
        <w:t xml:space="preserve"> </w:t>
      </w:r>
      <w:r>
        <w:t xml:space="preserve">Continue to increase the share of renewable energy at production facilities, aiming for 100% to further reduce Scope 2 emissions. Investigate renewable energy options within the supply chain.</w:t>
      </w:r>
    </w:p>
    <w:p>
      <w:pPr>
        <w:numPr>
          <w:ilvl w:val="0"/>
          <w:numId w:val="1023"/>
        </w:numPr>
        <w:pStyle w:val="Compact"/>
      </w:pPr>
      <w:r>
        <w:rPr>
          <w:bCs/>
          <w:b/>
        </w:rPr>
        <w:t xml:space="preserve">Logistics Efficiency:</w:t>
      </w:r>
      <w:r>
        <w:t xml:space="preserve"> </w:t>
      </w:r>
      <w:r>
        <w:t xml:space="preserve">Optimize transportation routes, explore switching to lower-emission modes (e.g., rail or electric vehicles for road transport where feasible), and ensure high load factors for all shipments.</w:t>
      </w:r>
    </w:p>
    <w:p>
      <w:pPr>
        <w:numPr>
          <w:ilvl w:val="0"/>
          <w:numId w:val="1023"/>
        </w:numPr>
        <w:pStyle w:val="Compact"/>
      </w:pPr>
      <w:r>
        <w:rPr>
          <w:bCs/>
          <w:b/>
        </w:rPr>
        <w:t xml:space="preserve">Circular Economy Enhancement:</w:t>
      </w:r>
      <w:r>
        <w:t xml:space="preserve"> </w:t>
      </w:r>
      <w:r>
        <w:t xml:space="preserve">Continue to strengthen the take-back program and explore opportunities for repair, refurbishment, and advanced recycling technologies to maximize material recovery and minimize end-of-life impacts. Publicly report on the effectiveness of these programs.</w:t>
      </w:r>
    </w:p>
    <w:p>
      <w:pPr>
        <w:pStyle w:val="FirstParagraph"/>
      </w:pPr>
      <w:r>
        <w:t xml:space="preserve">By focusing on these areas, ezxvvryzkd can strategically reduce the carbon footprint of urzuwqujhp and demonstrate leadership in product sustainability.</w:t>
      </w:r>
    </w:p>
    <w:p>
      <w:pPr>
        <w:pStyle w:val="BodyText"/>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urzuwqujhp</dc:title>
  <dc:creator/>
  <dc:description>High-detail Product Carbon Footprint (PCF) analysis report for urzuwqujhp by ezxvvryzkd, adhering to GHG Protocol standards and 2026 LSR updates, including Scope 1, 2, and 3 emissions.</dc:description>
  <dc:language>en</dc:language>
  <cp:keywords/>
  <dcterms:created xsi:type="dcterms:W3CDTF">2026-05-30T22:06:49Z</dcterms:created>
  <dcterms:modified xsi:type="dcterms:W3CDTF">2026-05-30T22:06:49Z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