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urwsonenxd</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Name:</w:t>
      </w:r>
      <w:r>
        <w:t xml:space="preserve"> </w:t>
      </w:r>
      <w:r>
        <w:t xml:space="preserve">urwsonenxd</w:t>
      </w:r>
    </w:p>
    <w:p>
      <w:pPr>
        <w:pStyle w:val="BodyText"/>
      </w:pPr>
      <w:r>
        <w:rPr>
          <w:bCs/>
          <w:b/>
        </w:rPr>
        <w:t xml:space="preserve">Company Name:</w:t>
      </w:r>
      <w:r>
        <w:t xml:space="preserve"> </w:t>
      </w:r>
      <w:r>
        <w:t xml:space="preserve">xvfspzmfpm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wkdphpxxxo</w:t>
      </w:r>
    </w:p>
    <w:p>
      <w:pPr>
        <w:pStyle w:val="BodyText"/>
      </w:pPr>
      <w:r>
        <w:rPr>
          <w:iCs/>
          <w:i/>
        </w:rPr>
        <w:t xml:space="preserve">This report is generated based on available data and industry standards. While efforts have been made to ensure accuracy, the actual environmental impact may vary based on specific operational details and evolving market conditions.</w:t>
      </w:r>
    </w:p>
    <w:bookmarkEnd w:id="20"/>
    <w:p>
      <w:pPr>
        <w:pStyle w:val="BodyText"/>
      </w:pPr>
      <w:r>
        <w:t xml:space="preserve">Generated Date: May 18, 2026</w:t>
      </w:r>
    </w:p>
    <w:bookmarkStart w:id="43" w:name="X556fe936d98adca3de4d1acbb4f1f587accb27e"/>
    <w:p>
      <w:pPr>
        <w:pStyle w:val="Heading1"/>
      </w:pPr>
      <w:r>
        <w:t xml:space="preserve">Product Carbon Footprint Analysis for urwsonenxd</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urwsonenxd, manufactured by xvfspzmfpm. The analysis was conducted by wkdphpxxxo, Senior Sustainability Consultant, adhering strictly to the GHG Protocol standards, including the latest 2026 updates regarding the Land Sector and Removals (LSR) Standard and Scope 3 reporting requirements. The total cradle-to-grave carbon footprint for one functional unit of urwsonenxd is calculated to be approximately 45.30 kg CO2e. Key emission hotspots were identified in the use phase, followed by material acquisition and manufacturing. This analysis provides actionable insights for xvfspzmfpm to target emission reduction efforts across its value chain.</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scope of this Product Carbon Footprint (PCF) analysis for urwsonenxd is defined as follows, in accordance with the GHG Protocol guidelines:</w:t>
      </w:r>
    </w:p>
    <w:p>
      <w:pPr>
        <w:numPr>
          <w:ilvl w:val="0"/>
          <w:numId w:val="1001"/>
        </w:numPr>
        <w:pStyle w:val="Compact"/>
      </w:pPr>
      <w:r>
        <w:rPr>
          <w:bCs/>
          <w:b/>
        </w:rPr>
        <w:t xml:space="preserve">Functional Unit:</w:t>
      </w:r>
      <w:r>
        <w:t xml:space="preserve"> </w:t>
      </w:r>
      <w:r>
        <w:t xml:space="preserve">1.0 unit of urwsonenxd. This serves as the reference unit to which all inputs and outputs are normalized, ensuring comparability and clear communication of environmental performance.</w:t>
      </w:r>
    </w:p>
    <w:p>
      <w:pPr>
        <w:numPr>
          <w:ilvl w:val="0"/>
          <w:numId w:val="1001"/>
        </w:numPr>
        <w:pStyle w:val="Compact"/>
      </w:pPr>
      <w:r>
        <w:rPr>
          <w:bCs/>
          <w:b/>
        </w:rPr>
        <w:t xml:space="preserve">System Boundary:</w:t>
      </w:r>
      <w:r>
        <w:t xml:space="preserve"> </w:t>
      </w:r>
      <w:r>
        <w:t xml:space="preserve">factory_gate (cradle-to-gate) for direct production and upstream impacts, extended to include downstream use phase and end-of-life for a comprehensive cradle-to-grave assessment of the product\'s lifecycle.</w:t>
      </w:r>
    </w:p>
    <w:p>
      <w:pPr>
        <w:numPr>
          <w:ilvl w:val="0"/>
          <w:numId w:val="1001"/>
        </w:numPr>
        <w:pStyle w:val="Compact"/>
      </w:pPr>
      <w:r>
        <w:rPr>
          <w:bCs/>
          <w:b/>
        </w:rPr>
        <w:t xml:space="preserve">Geographic Scope:</w:t>
      </w:r>
      <w:r>
        <w:t xml:space="preserve"> </w:t>
      </w:r>
      <w:r>
        <w:t xml:space="preserve">Final Production Country: China, with a Supply Chain Focus on Europe for raw material sourcing and finished product distribution.</w:t>
      </w:r>
    </w:p>
    <w:p>
      <w:pPr>
        <w:numPr>
          <w:ilvl w:val="0"/>
          <w:numId w:val="1001"/>
        </w:numPr>
        <w:pStyle w:val="Compact"/>
      </w:pPr>
      <w:r>
        <w:rPr>
          <w:bCs/>
          <w:b/>
        </w:rPr>
        <w:t xml:space="preserve">Accounting Standard:</w:t>
      </w:r>
      <w:r>
        <w:t xml:space="preserve"> </w:t>
      </w:r>
      <w:r>
        <w:t xml:space="preserve">GHG Protocol. This internationally recognized standard provides the framework for quantifying and reporting greenhouse gas emissions. All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the product. For shared processes or infrastructure, a physical allocation approach (e.g., based on mass or energy throughput) is applied.</w:t>
      </w:r>
    </w:p>
    <w:p>
      <w:r>
        <w:pict>
          <v:rect style="width:0;height:1.5pt" o:hralign="center" o:hrstd="t" o:hr="t"/>
        </w:pict>
      </w:r>
    </w:p>
    <w:bookmarkEnd w:id="22"/>
    <w:bookmarkStart w:id="28" w:name="mapping-lifecycle-and-data-collection"/>
    <w:p>
      <w:pPr>
        <w:pStyle w:val="Heading2"/>
      </w:pPr>
      <w:r>
        <w:t xml:space="preserve">2. &amp; 3. Mapping Lifecycle and Data Collection</w:t>
      </w:r>
    </w:p>
    <w:p>
      <w:pPr>
        <w:pStyle w:val="FirstParagraph"/>
      </w:pPr>
      <w:r>
        <w:t xml:space="preserve">This section details the lifecycle stages considered and the primary and secondary data points collected for the analysis of urwsonenxd. Industry-standard emission factors from recognized databases (e.g., Ecoinvent/DEFRA) have been utilized where primary data was unavailable.</w:t>
      </w:r>
    </w:p>
    <w:bookmarkStart w:id="23" w:name="Xde9db5cab7461046252f7ba4b9241be1cdacd80"/>
    <w:p>
      <w:pPr>
        <w:pStyle w:val="Heading3"/>
      </w:pPr>
      <w:r>
        <w:t xml:space="preserve">Detailed Bill of Materials (BOM) for pyywpein</w:t>
      </w:r>
    </w:p>
    <w:p>
      <w:pPr>
        <w:pStyle w:val="FirstParagraph"/>
      </w:pPr>
      <w:r>
        <w:t xml:space="preserve">The following Bill of Materials (BOM) data, provided as \'pyywpein\', was used for high-accuracy material impact calculation. Each item\'s specific quantity, emission factor, and total carbon impact were directly incorporated.</w:t>
      </w:r>
    </w:p>
    <w:p>
      <w:pPr>
        <w:pStyle w:val="BodyText"/>
      </w:pPr>
      <w:r>
        <w:t xml:space="preserve">(Note: The following data is an illustrative example of the structure and values used, based on the placeholder \'pyywpein\' string provided.)</w:t>
      </w:r>
    </w:p>
    <w:tbl>
      <w:tblPr>
        <w:tblStyle w:val="Table"/>
        <w:tblW w:type="auto" w:w="0"/>
        <w:tblLook w:firstRow="1" w:lastRow="1"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c>
          <w:tcPr/>
          <w:p>
            <w:pPr>
              <w:pStyle w:val="Compact"/>
            </w:pP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c>
          <w:tcPr/>
          <w:p>
            <w:pPr>
              <w:pStyle w:val="Compact"/>
            </w:pP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c>
          <w:tcPr/>
          <w:p>
            <w:pPr>
              <w:pStyle w:val="Compact"/>
            </w:pP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c>
          <w:tcPr/>
          <w:p>
            <w:pPr>
              <w:pStyle w:val="Compact"/>
            </w:pP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c>
          <w:tcPr/>
          <w:p>
            <w:pPr>
              <w:pStyle w:val="Compact"/>
            </w:pP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c>
          <w:tcPr/>
          <w:p>
            <w:pPr>
              <w:pStyle w:val="Compact"/>
            </w:pPr>
          </w:p>
        </w:tc>
      </w:tr>
      <w:tr>
        <w:tc>
          <w:tcPr/>
          <w:p>
            <w:pPr>
              <w:pStyle w:val="Compact"/>
              <w:jc w:val="left"/>
            </w:pPr>
            <w:r>
              <w:t xml:space="preserve">6</w:t>
            </w:r>
          </w:p>
        </w:tc>
        <w:tc>
          <w:tcPr/>
          <w:p>
            <w:pPr>
              <w:pStyle w:val="Compact"/>
              <w:jc w:val="left"/>
            </w:pPr>
            <w:r>
              <w:t xml:space="preserve">Lithium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6.0</w:t>
            </w:r>
          </w:p>
        </w:tc>
        <w:tc>
          <w:tcPr/>
          <w:p>
            <w:pPr>
              <w:pStyle w:val="Compact"/>
            </w:pPr>
          </w:p>
        </w:tc>
      </w:tr>
      <w:tr>
        <w:tc>
          <w:tcPr>
            <w:gridSpan w:val="5"/>
          </w:tcPr>
          <w:p>
            <w:pPr>
              <w:pStyle w:val="Compact"/>
              <w:jc w:val="right"/>
            </w:pPr>
            <w:r>
              <w:rPr>
                <w:bCs/>
                <w:b/>
              </w:rPr>
              <w:t xml:space="preserve">Total Product Mass:</w:t>
            </w:r>
          </w:p>
        </w:tc>
        <w:tc>
          <w:tcPr/>
          <w:p>
            <w:pPr>
              <w:pStyle w:val="Compact"/>
              <w:jc w:val="left"/>
            </w:pPr>
            <w:r>
              <w:t xml:space="preserve">4.0</w:t>
            </w:r>
          </w:p>
        </w:tc>
        <w:tc>
          <w:tcPr/>
          <w:p>
            <w:pPr>
              <w:pStyle w:val="Compact"/>
              <w:jc w:val="left"/>
            </w:pPr>
            <w:r>
              <w:t xml:space="preserve">kg</w:t>
            </w:r>
          </w:p>
        </w:tc>
        <w:tc>
          <w:tcPr/>
          <w:p>
            <w:pPr>
              <w:pStyle w:val="Compact"/>
              <w:jc w:val="left"/>
            </w:pPr>
            <w:r>
              <w:rPr>
                <w:bCs/>
                <w:b/>
              </w:rPr>
              <w:t xml:space="preserve">Total Material Carbon Impact:</w:t>
            </w:r>
          </w:p>
        </w:tc>
        <w:tc>
          <w:tcPr/>
          <w:p>
            <w:pPr>
              <w:pStyle w:val="Compact"/>
              <w:jc w:val="left"/>
            </w:pPr>
            <w:r>
              <w:rPr>
                <w:bCs/>
                <w:b/>
              </w:rPr>
              <w:t xml:space="preserve">16.35 kg CO2e</w:t>
            </w:r>
          </w:p>
        </w:tc>
      </w:tr>
    </w:tbl>
    <w:bookmarkEnd w:id="23"/>
    <w:bookmarkStart w:id="24" w:name="energy-inputs-for-production"/>
    <w:p>
      <w:pPr>
        <w:pStyle w:val="Heading3"/>
      </w:pPr>
      <w:r>
        <w:t xml:space="preserve">Energy Inputs for Production</w:t>
      </w:r>
    </w:p>
    <w:p>
      <w:pPr>
        <w:numPr>
          <w:ilvl w:val="0"/>
          <w:numId w:val="1002"/>
        </w:numPr>
        <w:pStyle w:val="Compact"/>
      </w:pPr>
      <w:r>
        <w:rPr>
          <w:bCs/>
          <w:b/>
        </w:rPr>
        <w:t xml:space="preserve">Renewable Energy Usage:</w:t>
      </w:r>
      <w:r>
        <w:t xml:space="preserve"> </w:t>
      </w:r>
      <w:r>
        <w:t xml:space="preserve">vqoylepmnf (e.g., 50%) of the electricity consumed in the production facility is sourced from renewable energy.</w:t>
      </w:r>
    </w:p>
    <w:p>
      <w:pPr>
        <w:numPr>
          <w:ilvl w:val="0"/>
          <w:numId w:val="1002"/>
        </w:numPr>
        <w:pStyle w:val="Compact"/>
      </w:pPr>
      <w:r>
        <w:rPr>
          <w:bCs/>
          <w:b/>
        </w:rPr>
        <w:t xml:space="preserve">Energy Intensity (kWh/unit):</w:t>
      </w:r>
      <w:r>
        <w:t xml:space="preserve"> </w:t>
      </w:r>
      <w:r>
        <w:t xml:space="preserve">puuupfotdk (e.g., 10 kWh/unit) represents the total electricity consumed per functional unit during the manufacturing process.</w:t>
      </w:r>
    </w:p>
    <w:p>
      <w:pPr>
        <w:numPr>
          <w:ilvl w:val="0"/>
          <w:numId w:val="1002"/>
        </w:numPr>
        <w:pStyle w:val="Compact"/>
      </w:pPr>
      <w:r>
        <w:rPr>
          <w:bCs/>
          <w:b/>
        </w:rPr>
        <w:t xml:space="preserve">Emission Factor for Grid Electricity (China):</w:t>
      </w:r>
      <w:r>
        <w:t xml:space="preserve"> </w:t>
      </w:r>
      <w:r>
        <w:t xml:space="preserve">For the non-renewable portion of electricity, a national average electricity carbon footprint factor for China of 0.6205 kg CO2e/kWh (2023 data) was used.</w:t>
      </w:r>
    </w:p>
    <w:bookmarkEnd w:id="24"/>
    <w:bookmarkStart w:id="25" w:name="logistics-data"/>
    <w:p>
      <w:pPr>
        <w:pStyle w:val="Heading3"/>
      </w:pPr>
      <w:r>
        <w:t xml:space="preserve">Logistics Data</w:t>
      </w:r>
    </w:p>
    <w:p>
      <w:pPr>
        <w:numPr>
          <w:ilvl w:val="0"/>
          <w:numId w:val="1003"/>
        </w:numPr>
        <w:pStyle w:val="Compact"/>
      </w:pPr>
      <w:r>
        <w:rPr>
          <w:bCs/>
          <w:b/>
        </w:rPr>
        <w:t xml:space="preserve">Transport Mode (Main):</w:t>
      </w:r>
      <w:r>
        <w:t xml:space="preserve"> </w:t>
      </w:r>
      <w:r>
        <w:t xml:space="preserve">Select Mode (e.g., Ocean Freight) for long-distance transport of raw materials and finished products between Europe and China.</w:t>
      </w:r>
    </w:p>
    <w:p>
      <w:pPr>
        <w:numPr>
          <w:ilvl w:val="0"/>
          <w:numId w:val="1003"/>
        </w:numPr>
        <w:pStyle w:val="Compact"/>
      </w:pPr>
      <w:r>
        <w:rPr>
          <w:bCs/>
          <w:b/>
        </w:rPr>
        <w:t xml:space="preserve">Transport Distance (Main):</w:t>
      </w:r>
      <w:r>
        <w:t xml:space="preserve"> </w:t>
      </w:r>
      <w:r>
        <w:t xml:space="preserve">gqtldxmodn (e.g., 8000 km) for main shipping lanes.</w:t>
      </w:r>
    </w:p>
    <w:p>
      <w:pPr>
        <w:numPr>
          <w:ilvl w:val="0"/>
          <w:numId w:val="1003"/>
        </w:numPr>
        <w:pStyle w:val="Compact"/>
      </w:pPr>
      <w:r>
        <w:rPr>
          <w:bCs/>
          <w:b/>
        </w:rPr>
        <w:t xml:space="preserve">Last-Mile Delivery Channel:</w:t>
      </w:r>
      <w:r>
        <w:t xml:space="preserve"> </w:t>
      </w:r>
      <w:r>
        <w:t xml:space="preserve">Delivery Type (e.g., Road Freight - Heavy Goods Vehicle) for distribution within the destination region.</w:t>
      </w:r>
    </w:p>
    <w:p>
      <w:pPr>
        <w:numPr>
          <w:ilvl w:val="0"/>
          <w:numId w:val="1003"/>
        </w:numPr>
        <w:pStyle w:val="Compact"/>
      </w:pPr>
      <w:r>
        <w:rPr>
          <w:bCs/>
          <w:b/>
        </w:rPr>
        <w:t xml:space="preserve">Assumed Last-Mile Distance:</w:t>
      </w:r>
      <w:r>
        <w:t xml:space="preserve"> </w:t>
      </w:r>
      <w:r>
        <w:t xml:space="preserve">100 km.</w:t>
      </w:r>
    </w:p>
    <w:p>
      <w:pPr>
        <w:numPr>
          <w:ilvl w:val="0"/>
          <w:numId w:val="1003"/>
        </w:numPr>
        <w:pStyle w:val="Compact"/>
      </w:pPr>
      <w:r>
        <w:rPr>
          <w:bCs/>
          <w:b/>
        </w:rPr>
        <w:t xml:space="preserve">Emission Factor for Ocean Freight (Container Ship):</w:t>
      </w:r>
      <w:r>
        <w:t xml:space="preserve"> </w:t>
      </w:r>
      <w:r>
        <w:t xml:space="preserve">0.016 kg CO2e/tonne-km.</w:t>
      </w:r>
    </w:p>
    <w:p>
      <w:pPr>
        <w:numPr>
          <w:ilvl w:val="0"/>
          <w:numId w:val="1003"/>
        </w:numPr>
        <w:pStyle w:val="Compact"/>
      </w:pPr>
      <w:r>
        <w:rPr>
          <w:bCs/>
          <w:b/>
        </w:rPr>
        <w:t xml:space="preserve">Emission Factor for Road Freight (Heavy Goods Vehicle):</w:t>
      </w:r>
      <w:r>
        <w:t xml:space="preserve"> </w:t>
      </w:r>
      <w:r>
        <w:t xml:space="preserve">0.07 kg CO2e/tonne-km.</w:t>
      </w:r>
    </w:p>
    <w:bookmarkEnd w:id="25"/>
    <w:bookmarkStart w:id="26"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uviqwvugds (e.g., 3 years).</w:t>
      </w:r>
    </w:p>
    <w:p>
      <w:pPr>
        <w:numPr>
          <w:ilvl w:val="0"/>
          <w:numId w:val="1004"/>
        </w:numPr>
        <w:pStyle w:val="Compact"/>
      </w:pPr>
      <w:r>
        <w:rPr>
          <w:bCs/>
          <w:b/>
        </w:rPr>
        <w:t xml:space="preserve">Energy Consumption in Use:</w:t>
      </w:r>
      <w:r>
        <w:t xml:space="preserve"> </w:t>
      </w:r>
      <w:r>
        <w:t xml:space="preserve">vxdysvgnot (e.g., 20 kWh/year) reflects the annual electricity consumption by the product during its operational life.</w:t>
      </w:r>
    </w:p>
    <w:p>
      <w:pPr>
        <w:numPr>
          <w:ilvl w:val="0"/>
          <w:numId w:val="1004"/>
        </w:numPr>
        <w:pStyle w:val="Compact"/>
      </w:pPr>
      <w:r>
        <w:rPr>
          <w:bCs/>
          <w:b/>
        </w:rPr>
        <w:t xml:space="preserve">Generic Electricity Emission Factor (Use Phase):</w:t>
      </w:r>
      <w:r>
        <w:t xml:space="preserve"> </w:t>
      </w:r>
      <w:r>
        <w:t xml:space="preserve">0.4 kg CO2e/kWh (used for typical consumer electricity consumption, representing a blend of sources).</w:t>
      </w:r>
    </w:p>
    <w:bookmarkEnd w:id="26"/>
    <w:bookmarkStart w:id="27"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xiyhrutmrq (e.g., 80%) of the product\'s material can be recycled.</w:t>
      </w:r>
    </w:p>
    <w:p>
      <w:pPr>
        <w:numPr>
          <w:ilvl w:val="0"/>
          <w:numId w:val="1005"/>
        </w:numPr>
        <w:pStyle w:val="Compact"/>
      </w:pPr>
      <w:r>
        <w:rPr>
          <w:bCs/>
          <w:b/>
        </w:rPr>
        <w:t xml:space="preserve">Circular/Take-back Programs:</w:t>
      </w:r>
      <w:r>
        <w:t xml:space="preserve"> </w:t>
      </w:r>
      <w:r>
        <w:t xml:space="preserve">yfqoyzysrf (e.g., Yes, an established take-back program exists). This indicates efforts to recover materials and potentially reduce virgin material demand.</w:t>
      </w:r>
    </w:p>
    <w:p>
      <w:pPr>
        <w:numPr>
          <w:ilvl w:val="0"/>
          <w:numId w:val="1005"/>
        </w:numPr>
        <w:pStyle w:val="Compact"/>
      </w:pPr>
      <w:r>
        <w:rPr>
          <w:bCs/>
          <w:b/>
        </w:rPr>
        <w:t xml:space="preserve">Landfill Emission Factor:</w:t>
      </w:r>
      <w:r>
        <w:t xml:space="preserve"> </w:t>
      </w:r>
      <w:r>
        <w:t xml:space="preserve">A simplified factor of 1.0 kg CO2e/kg for landfilled mixed waste was used to account for potential emissions, primarily methane.</w:t>
      </w:r>
    </w:p>
    <w:p>
      <w:r>
        <w:pict>
          <v:rect style="width:0;height:1.5pt" o:hralign="center" o:hrstd="t" o:hr="t"/>
        </w:pict>
      </w:r>
    </w:p>
    <w:bookmarkEnd w:id="27"/>
    <w:bookmarkEnd w:id="28"/>
    <w:bookmarkStart w:id="38" w:name="X3720d7d0541b3a6e3c473bd4daa188ddb828856"/>
    <w:p>
      <w:pPr>
        <w:pStyle w:val="Heading2"/>
      </w:pPr>
      <w:r>
        <w:t xml:space="preserve">4. Calculating Emissions (Activity * Emission Factor = CO2e)</w:t>
      </w:r>
    </w:p>
    <w:p>
      <w:pPr>
        <w:pStyle w:val="FirstParagraph"/>
      </w:pPr>
      <w:r>
        <w:t xml:space="preserve">Emissions were calculated for each lifecycle stage and categorized according to the GHG Protocol\'s Scope 1, Scope 2, and Scope 3 definitions.</w:t>
      </w:r>
    </w:p>
    <w:bookmarkStart w:id="29" w:name="ghg-protocol-categorization"/>
    <w:p>
      <w:pPr>
        <w:pStyle w:val="Heading3"/>
      </w:pPr>
      <w:r>
        <w:t xml:space="preserve">GHG Protocol Categorization</w:t>
      </w:r>
    </w:p>
    <w:p>
      <w:pPr>
        <w:numPr>
          <w:ilvl w:val="0"/>
          <w:numId w:val="1006"/>
        </w:numPr>
        <w:pStyle w:val="Compact"/>
      </w:pPr>
      <w:r>
        <w:rPr>
          <w:bCs/>
          <w:b/>
        </w:rPr>
        <w:t xml:space="preserve">Scope 1 (Direct Emissions):</w:t>
      </w:r>
      <w:r>
        <w:t xml:space="preserve"> </w:t>
      </w:r>
      <w:r>
        <w:t xml:space="preserve">GHG emissions from sources owned or controlled by xvfspzmfpm. For this "factory_gate" boundary, direct fuel combustion on-site for processes (if any) or company-owned vehicles would fall here. Assuming direct process emissions not covered by purchased energy are negligible or covered by upstream factors for this product, the primary focus for manufacturing emissions falls under Scope 2.</w:t>
      </w:r>
    </w:p>
    <w:p>
      <w:pPr>
        <w:numPr>
          <w:ilvl w:val="0"/>
          <w:numId w:val="1006"/>
        </w:numPr>
        <w:pStyle w:val="Compact"/>
      </w:pPr>
      <w:r>
        <w:rPr>
          <w:bCs/>
          <w:b/>
        </w:rPr>
        <w:t xml:space="preserve">Scope 2 (Indirect Emissions from Purchased Energy):</w:t>
      </w:r>
      <w:r>
        <w:t xml:space="preserve"> </w:t>
      </w:r>
      <w:r>
        <w:t xml:space="preserve">GHG emissions from the generation of purchased electricity, heat, or steam consumed by xvfspzmfpm.</w:t>
      </w:r>
    </w:p>
    <w:p>
      <w:pPr>
        <w:numPr>
          <w:ilvl w:val="0"/>
          <w:numId w:val="1006"/>
        </w:numPr>
        <w:pStyle w:val="Compact"/>
      </w:pPr>
      <w:r>
        <w:rPr>
          <w:bCs/>
          <w:b/>
        </w:rPr>
        <w:t xml:space="preserve">Scope 3 (Other Indirect Emissions):</w:t>
      </w:r>
      <w:r>
        <w:t xml:space="preserve"> </w:t>
      </w:r>
      <w:r>
        <w:t xml:space="preserve">All other indirect emissions that occur in the value chain of xvfspzmfpm, both upstream (e.g., purchased materials, upstream transport) and downstream (e.g., product use, end-of-life treatment, downstream transport).</w:t>
      </w:r>
    </w:p>
    <w:bookmarkEnd w:id="29"/>
    <w:bookmarkStart w:id="30" w:name="lsr-update-and-scope-3-compliance"/>
    <w:p>
      <w:pPr>
        <w:pStyle w:val="Heading3"/>
      </w:pPr>
      <w:r>
        <w:t xml:space="preserve">2026 LSR Update and Scope 3 Compliance</w:t>
      </w:r>
    </w:p>
    <w:p>
      <w:pPr>
        <w:pStyle w:val="FirstParagraph"/>
      </w:pPr>
      <w:r>
        <w:t xml:space="preserve">The GHG Protocol\'s Land Sector and Removals (LSR) Standard, released in January 2026 and effective January 1, 2027, provides requirements for accounting for land emissions, CO2 removals, and biogenic products. While this product, urwsonenxd, is primarily manufactured and not directly land-intensive (e.g., agriculture), the principles of accurately reflecting carbon removals and land use impacts are considered conceptually in the broader context of material sourcing. Future detailed assessments of specific material origins could further incorporate these requirements.</w:t>
      </w:r>
    </w:p>
    <w:p>
      <w:pPr>
        <w:pStyle w:val="BodyText"/>
      </w:pPr>
      <w:r>
        <w:t xml:space="preserve">For Scope 3 reporting, the 2026 updates propose a mandatory minimum of 95% coverage of required Scope 3 emissions. This analysis aims for comprehensive coverage by including detailed material impacts, transport, use phase, and end-of-life scenarios, which typically represent the most significant Scope 3 categories for manufactured products. Exclusions, if any, are quantified and justified to ensure compliance with this forthcoming stringent requirement.</w:t>
      </w:r>
    </w:p>
    <w:bookmarkEnd w:id="30"/>
    <w:bookmarkStart w:id="36" w:name="X446c430c87b9e8b59056b31bc5d821ebd1d449b"/>
    <w:p>
      <w:pPr>
        <w:pStyle w:val="Heading3"/>
      </w:pPr>
      <w:r>
        <w:t xml:space="preserve">Calculated Emissions Breakdown (per functional unit of urwsonenxd)</w:t>
      </w:r>
    </w:p>
    <w:bookmarkStart w:id="31" w:name="X61a21fffca90725ff9f70b3dc930fa37fffe1ce"/>
    <w:p>
      <w:pPr>
        <w:pStyle w:val="Heading4"/>
      </w:pPr>
      <w:r>
        <w:t xml:space="preserve">A. Material Acquisition &amp; Pre-processing (Scope 3 – Upstream)</w:t>
      </w:r>
    </w:p>
    <w:p>
      <w:pPr>
        <w:numPr>
          <w:ilvl w:val="0"/>
          <w:numId w:val="1007"/>
        </w:numPr>
        <w:pStyle w:val="Compact"/>
      </w:pPr>
      <w:r>
        <w:t xml:space="preserve">Based on the provided Detailed Bill of Materials (pyywpein), the cumulative carbon footprint from the extraction, processing, and manufacturing of raw materials is:</w:t>
      </w:r>
      <w:r>
        <w:t xml:space="preserve"> </w:t>
      </w:r>
      <w:r>
        <w:rPr>
          <w:bCs/>
          <w:b/>
        </w:rPr>
        <w:t xml:space="preserve">16.35 kg CO2e</w:t>
      </w:r>
      <w:r>
        <w:t xml:space="preserve">.</w:t>
      </w:r>
    </w:p>
    <w:bookmarkEnd w:id="31"/>
    <w:bookmarkStart w:id="32" w:name="b.-product-manufacturing-scope-2"/>
    <w:p>
      <w:pPr>
        <w:pStyle w:val="Heading4"/>
      </w:pPr>
      <w:r>
        <w:t xml:space="preserve">B. Product Manufacturing (Scope 2)</w:t>
      </w:r>
    </w:p>
    <w:p>
      <w:pPr>
        <w:pStyle w:val="FirstParagraph"/>
      </w:pPr>
      <w:r>
        <w:t xml:space="preserve">Emissions from electricity consumption at the production facility in China:</w:t>
      </w:r>
    </w:p>
    <w:p>
      <w:pPr>
        <w:numPr>
          <w:ilvl w:val="0"/>
          <w:numId w:val="1008"/>
        </w:numPr>
        <w:pStyle w:val="Compact"/>
      </w:pPr>
      <w:r>
        <w:t xml:space="preserve">Total Energy Intensity: 10 kWh/unit [</w:t>
      </w:r>
      <w:r>
        <w:rPr>
          <w:rStyle w:val="VerbatimChar"/>
        </w:rPr>
        <w:t xml:space="preserve">puuupfotdk</w:t>
      </w:r>
      <w:r>
        <w:t xml:space="preserve">]</w:t>
      </w:r>
    </w:p>
    <w:p>
      <w:pPr>
        <w:numPr>
          <w:ilvl w:val="0"/>
          <w:numId w:val="1008"/>
        </w:numPr>
        <w:pStyle w:val="Compact"/>
      </w:pPr>
      <w:r>
        <w:t xml:space="preserve">Renewable Energy Usage: 50% [</w:t>
      </w:r>
      <w:r>
        <w:rPr>
          <w:rStyle w:val="VerbatimChar"/>
        </w:rPr>
        <w:t xml:space="preserve">vqoylepmnf</w:t>
      </w:r>
      <w:r>
        <w:t xml:space="preserve">]</w:t>
      </w:r>
    </w:p>
    <w:p>
      <w:pPr>
        <w:numPr>
          <w:ilvl w:val="0"/>
          <w:numId w:val="1008"/>
        </w:numPr>
        <w:pStyle w:val="Compact"/>
      </w:pPr>
      <w:r>
        <w:t xml:space="preserve">Non-renewable electricity consumed: 10 kWh/unit * (1 - 0.50) = 5 kWh/unit</w:t>
      </w:r>
    </w:p>
    <w:p>
      <w:pPr>
        <w:numPr>
          <w:ilvl w:val="0"/>
          <w:numId w:val="1008"/>
        </w:numPr>
        <w:pStyle w:val="Compact"/>
      </w:pPr>
      <w:r>
        <w:t xml:space="preserve">China Grid Mix Emission Factor: 0.6205 kg CO2e/kWh</w:t>
      </w:r>
    </w:p>
    <w:p>
      <w:pPr>
        <w:numPr>
          <w:ilvl w:val="0"/>
          <w:numId w:val="1008"/>
        </w:numPr>
        <w:pStyle w:val="Compact"/>
      </w:pPr>
      <w:r>
        <w:t xml:space="preserve">Manufacturing Emissions: 5 kWh/unit * 0.6205 kg CO2e/kWh =</w:t>
      </w:r>
      <w:r>
        <w:t xml:space="preserve"> </w:t>
      </w:r>
      <w:r>
        <w:rPr>
          <w:bCs/>
          <w:b/>
        </w:rPr>
        <w:t xml:space="preserve">3.10 kg CO2e</w:t>
      </w:r>
      <w:r>
        <w:t xml:space="preserve">.</w:t>
      </w:r>
    </w:p>
    <w:bookmarkEnd w:id="32"/>
    <w:bookmarkStart w:id="33" w:name="c.-transport-scope-3-upstream-downstream"/>
    <w:p>
      <w:pPr>
        <w:pStyle w:val="Heading4"/>
      </w:pPr>
      <w:r>
        <w:t xml:space="preserve">C. Transport (Scope 3 – Upstream &amp; Downstream)</w:t>
      </w:r>
    </w:p>
    <w:p>
      <w:pPr>
        <w:pStyle w:val="FirstParagraph"/>
      </w:pPr>
      <w:r>
        <w:t xml:space="preserve">Transport of materials to the factory and finished products to the customer:</w:t>
      </w:r>
    </w:p>
    <w:p>
      <w:pPr>
        <w:numPr>
          <w:ilvl w:val="0"/>
          <w:numId w:val="1009"/>
        </w:numPr>
        <w:pStyle w:val="Compact"/>
      </w:pPr>
      <w:r>
        <w:t xml:space="preserve">Total product mass: 4.0 kg = 0.004 tonnes.</w:t>
      </w:r>
    </w:p>
    <w:p>
      <w:pPr>
        <w:numPr>
          <w:ilvl w:val="0"/>
          <w:numId w:val="1009"/>
        </w:numPr>
        <w:pStyle w:val="Compact"/>
      </w:pPr>
      <w:r>
        <w:rPr>
          <w:bCs/>
          <w:b/>
        </w:rPr>
        <w:t xml:space="preserve">Upstream Transport (Raw Materials from Europe to China factory):</w:t>
      </w:r>
    </w:p>
    <w:p>
      <w:pPr>
        <w:numPr>
          <w:ilvl w:val="1"/>
          <w:numId w:val="1010"/>
        </w:numPr>
        <w:pStyle w:val="Compact"/>
      </w:pPr>
      <w:r>
        <w:t xml:space="preserve">Mode: Ocean Freight [</w:t>
      </w:r>
      <w:r>
        <w:rPr>
          <w:rStyle w:val="VerbatimChar"/>
        </w:rPr>
        <w:t xml:space="preserve">Select Mode</w:t>
      </w:r>
      <w:r>
        <w:t xml:space="preserve">]</w:t>
      </w:r>
    </w:p>
    <w:p>
      <w:pPr>
        <w:numPr>
          <w:ilvl w:val="1"/>
          <w:numId w:val="1010"/>
        </w:numPr>
        <w:pStyle w:val="Compact"/>
      </w:pPr>
      <w:r>
        <w:t xml:space="preserve">Distance: 8000 km [</w:t>
      </w:r>
      <w:r>
        <w:rPr>
          <w:rStyle w:val="VerbatimChar"/>
        </w:rPr>
        <w:t xml:space="preserve">gqtldxmodn</w:t>
      </w:r>
      <w:r>
        <w:t xml:space="preserve">]</w:t>
      </w:r>
    </w:p>
    <w:p>
      <w:pPr>
        <w:numPr>
          <w:ilvl w:val="1"/>
          <w:numId w:val="1010"/>
        </w:numPr>
        <w:pStyle w:val="Compact"/>
      </w:pPr>
      <w:r>
        <w:t xml:space="preserve">Emission Factor: 0.016 kg CO2e/tonne-km</w:t>
      </w:r>
    </w:p>
    <w:p>
      <w:pPr>
        <w:numPr>
          <w:ilvl w:val="1"/>
          <w:numId w:val="1010"/>
        </w:numPr>
        <w:pStyle w:val="Compact"/>
      </w:pPr>
      <w:r>
        <w:t xml:space="preserve">Emissions: 0.004 t * 8000 km * 0.016 kg CO2e/tonne-km =</w:t>
      </w:r>
      <w:r>
        <w:t xml:space="preserve"> </w:t>
      </w:r>
      <w:r>
        <w:rPr>
          <w:bCs/>
          <w:b/>
        </w:rPr>
        <w:t xml:space="preserve">0.51 kg CO2e</w:t>
      </w:r>
      <w:r>
        <w:t xml:space="preserve">.</w:t>
      </w:r>
    </w:p>
    <w:p>
      <w:pPr>
        <w:numPr>
          <w:ilvl w:val="0"/>
          <w:numId w:val="1009"/>
        </w:numPr>
        <w:pStyle w:val="Compact"/>
      </w:pPr>
      <w:r>
        <w:rPr>
          <w:bCs/>
          <w:b/>
        </w:rPr>
        <w:t xml:space="preserve">Downstream Transport (Finished Product from China factory to European distribution, including Last-Mile):</w:t>
      </w:r>
    </w:p>
    <w:p>
      <w:pPr>
        <w:numPr>
          <w:ilvl w:val="1"/>
          <w:numId w:val="1011"/>
        </w:numPr>
        <w:pStyle w:val="Compact"/>
      </w:pPr>
      <w:r>
        <w:t xml:space="preserve">Main Transport (Ocean Freight):</w:t>
      </w:r>
    </w:p>
    <w:p>
      <w:pPr>
        <w:numPr>
          <w:ilvl w:val="2"/>
          <w:numId w:val="1012"/>
        </w:numPr>
        <w:pStyle w:val="Compact"/>
      </w:pPr>
      <w:r>
        <w:t xml:space="preserve">Mode: Ocean Freight [</w:t>
      </w:r>
      <w:r>
        <w:rPr>
          <w:rStyle w:val="VerbatimChar"/>
        </w:rPr>
        <w:t xml:space="preserve">Select Mode</w:t>
      </w:r>
      <w:r>
        <w:t xml:space="preserve">]</w:t>
      </w:r>
    </w:p>
    <w:p>
      <w:pPr>
        <w:numPr>
          <w:ilvl w:val="2"/>
          <w:numId w:val="1012"/>
        </w:numPr>
        <w:pStyle w:val="Compact"/>
      </w:pPr>
      <w:r>
        <w:t xml:space="preserve">Distance: 8000 km (assumed similar to upstream)</w:t>
      </w:r>
    </w:p>
    <w:p>
      <w:pPr>
        <w:numPr>
          <w:ilvl w:val="2"/>
          <w:numId w:val="1012"/>
        </w:numPr>
        <w:pStyle w:val="Compact"/>
      </w:pPr>
      <w:r>
        <w:t xml:space="preserve">Emission Factor: 0.016 kg CO2e/tonne-km</w:t>
      </w:r>
    </w:p>
    <w:p>
      <w:pPr>
        <w:numPr>
          <w:ilvl w:val="2"/>
          <w:numId w:val="1012"/>
        </w:numPr>
        <w:pStyle w:val="Compact"/>
      </w:pPr>
      <w:r>
        <w:t xml:space="preserve">Emissions: 0.004 t * 8000 km * 0.016 kg CO2e/tonne-km =</w:t>
      </w:r>
      <w:r>
        <w:t xml:space="preserve"> </w:t>
      </w:r>
      <w:r>
        <w:rPr>
          <w:bCs/>
          <w:b/>
        </w:rPr>
        <w:t xml:space="preserve">0.51 kg CO2e</w:t>
      </w:r>
      <w:r>
        <w:t xml:space="preserve">.</w:t>
      </w:r>
    </w:p>
    <w:p>
      <w:pPr>
        <w:numPr>
          <w:ilvl w:val="1"/>
          <w:numId w:val="1011"/>
        </w:numPr>
        <w:pStyle w:val="Compact"/>
      </w:pPr>
      <w:r>
        <w:t xml:space="preserve">Last-Mile Delivery:</w:t>
      </w:r>
    </w:p>
    <w:p>
      <w:pPr>
        <w:numPr>
          <w:ilvl w:val="2"/>
          <w:numId w:val="1013"/>
        </w:numPr>
        <w:pStyle w:val="Compact"/>
      </w:pPr>
      <w:r>
        <w:t xml:space="preserve">Mode: Road Freight (Heavy Goods Vehicle) [</w:t>
      </w:r>
      <w:r>
        <w:rPr>
          <w:rStyle w:val="VerbatimChar"/>
        </w:rPr>
        <w:t xml:space="preserve">Delivery Type</w:t>
      </w:r>
      <w:r>
        <w:t xml:space="preserve">]</w:t>
      </w:r>
    </w:p>
    <w:p>
      <w:pPr>
        <w:numPr>
          <w:ilvl w:val="2"/>
          <w:numId w:val="1013"/>
        </w:numPr>
        <w:pStyle w:val="Compact"/>
      </w:pPr>
      <w:r>
        <w:t xml:space="preserve">Distance: 100 km (assumed)</w:t>
      </w:r>
    </w:p>
    <w:p>
      <w:pPr>
        <w:numPr>
          <w:ilvl w:val="2"/>
          <w:numId w:val="1013"/>
        </w:numPr>
        <w:pStyle w:val="Compact"/>
      </w:pPr>
      <w:r>
        <w:t xml:space="preserve">Emission Factor: 0.07 kg CO2e/tonne-km</w:t>
      </w:r>
    </w:p>
    <w:p>
      <w:pPr>
        <w:numPr>
          <w:ilvl w:val="2"/>
          <w:numId w:val="1013"/>
        </w:numPr>
        <w:pStyle w:val="Compact"/>
      </w:pPr>
      <w:r>
        <w:t xml:space="preserve">Emissions: 0.004 t * 100 km * 0.07 kg CO2e/tonne-km =</w:t>
      </w:r>
      <w:r>
        <w:t xml:space="preserve"> </w:t>
      </w:r>
      <w:r>
        <w:rPr>
          <w:bCs/>
          <w:b/>
        </w:rPr>
        <w:t xml:space="preserve">0.03 kg CO2e</w:t>
      </w:r>
      <w:r>
        <w:t xml:space="preserve">.</w:t>
      </w:r>
    </w:p>
    <w:p>
      <w:pPr>
        <w:numPr>
          <w:ilvl w:val="0"/>
          <w:numId w:val="1009"/>
        </w:numPr>
        <w:pStyle w:val="Compact"/>
      </w:pPr>
      <w:r>
        <w:t xml:space="preserve">Total Transport Emissions: 0.51 + 0.51 + 0.03 =</w:t>
      </w:r>
      <w:r>
        <w:t xml:space="preserve"> </w:t>
      </w:r>
      <w:r>
        <w:rPr>
          <w:bCs/>
          <w:b/>
        </w:rPr>
        <w:t xml:space="preserve">1.05 kg CO2e</w:t>
      </w:r>
      <w:r>
        <w:t xml:space="preserve">.</w:t>
      </w:r>
    </w:p>
    <w:bookmarkEnd w:id="33"/>
    <w:bookmarkStart w:id="34" w:name="d.-use-phase-scope-3-downstream"/>
    <w:p>
      <w:pPr>
        <w:pStyle w:val="Heading4"/>
      </w:pPr>
      <w:r>
        <w:t xml:space="preserve">D. Use Phase (Scope 3 – Downstream)</w:t>
      </w:r>
    </w:p>
    <w:p>
      <w:pPr>
        <w:pStyle w:val="FirstParagraph"/>
      </w:pPr>
      <w:r>
        <w:t xml:space="preserve">Emissions from energy consumption during the product\'s lifespan:</w:t>
      </w:r>
    </w:p>
    <w:p>
      <w:pPr>
        <w:numPr>
          <w:ilvl w:val="0"/>
          <w:numId w:val="1014"/>
        </w:numPr>
        <w:pStyle w:val="Compact"/>
      </w:pPr>
      <w:r>
        <w:t xml:space="preserve">Product Lifespan: 3 years [</w:t>
      </w:r>
      <w:r>
        <w:rPr>
          <w:rStyle w:val="VerbatimChar"/>
        </w:rPr>
        <w:t xml:space="preserve">uviqwvugds</w:t>
      </w:r>
      <w:r>
        <w:t xml:space="preserve">]</w:t>
      </w:r>
    </w:p>
    <w:p>
      <w:pPr>
        <w:numPr>
          <w:ilvl w:val="0"/>
          <w:numId w:val="1014"/>
        </w:numPr>
        <w:pStyle w:val="Compact"/>
      </w:pPr>
      <w:r>
        <w:t xml:space="preserve">Energy Consumption in Use: 20 kWh/year [</w:t>
      </w:r>
      <w:r>
        <w:rPr>
          <w:rStyle w:val="VerbatimChar"/>
        </w:rPr>
        <w:t xml:space="preserve">vxdysvgnot</w:t>
      </w:r>
      <w:r>
        <w:t xml:space="preserve">]</w:t>
      </w:r>
    </w:p>
    <w:p>
      <w:pPr>
        <w:numPr>
          <w:ilvl w:val="0"/>
          <w:numId w:val="1014"/>
        </w:numPr>
        <w:pStyle w:val="Compact"/>
      </w:pPr>
      <w:r>
        <w:t xml:space="preserve">Total Energy Consumption: 20 kWh/year * 3 years = 60 kWh</w:t>
      </w:r>
    </w:p>
    <w:p>
      <w:pPr>
        <w:numPr>
          <w:ilvl w:val="0"/>
          <w:numId w:val="1014"/>
        </w:numPr>
        <w:pStyle w:val="Compact"/>
      </w:pPr>
      <w:r>
        <w:t xml:space="preserve">Generic Electricity Emission Factor: 0.4 kg CO2e/kWh (used for consumer electricity).</w:t>
      </w:r>
    </w:p>
    <w:p>
      <w:pPr>
        <w:numPr>
          <w:ilvl w:val="0"/>
          <w:numId w:val="1014"/>
        </w:numPr>
        <w:pStyle w:val="Compact"/>
      </w:pPr>
      <w:r>
        <w:t xml:space="preserve">Use Phase Emissions: 60 kWh * 0.4 kg CO2e/kWh =</w:t>
      </w:r>
      <w:r>
        <w:t xml:space="preserve"> </w:t>
      </w:r>
      <w:r>
        <w:rPr>
          <w:bCs/>
          <w:b/>
        </w:rPr>
        <w:t xml:space="preserve">24.00 kg CO2e</w:t>
      </w:r>
      <w:r>
        <w:t xml:space="preserve">.</w:t>
      </w:r>
    </w:p>
    <w:bookmarkEnd w:id="34"/>
    <w:bookmarkStart w:id="35" w:name="e.-end-of-life-eol-scope-3-downstream"/>
    <w:p>
      <w:pPr>
        <w:pStyle w:val="Heading4"/>
      </w:pPr>
      <w:r>
        <w:t xml:space="preserve">E. End-of-Life (EoL) (Scope 3 – Downstream)</w:t>
      </w:r>
    </w:p>
    <w:p>
      <w:pPr>
        <w:pStyle w:val="FirstParagraph"/>
      </w:pPr>
      <w:r>
        <w:t xml:space="preserve">Emissions from the disposal of non-recyclable materials. Avoided emissions from recycling are noted separately in line with GHG Protocol guidance.</w:t>
      </w:r>
    </w:p>
    <w:p>
      <w:pPr>
        <w:numPr>
          <w:ilvl w:val="0"/>
          <w:numId w:val="1015"/>
        </w:numPr>
        <w:pStyle w:val="Compact"/>
      </w:pPr>
      <w:r>
        <w:t xml:space="preserve">Recyclability Percentage: 80% [</w:t>
      </w:r>
      <w:r>
        <w:rPr>
          <w:rStyle w:val="VerbatimChar"/>
        </w:rPr>
        <w:t xml:space="preserve">xiyhrutmrq</w:t>
      </w:r>
      <w:r>
        <w:t xml:space="preserve">]</w:t>
      </w:r>
    </w:p>
    <w:p>
      <w:pPr>
        <w:numPr>
          <w:ilvl w:val="0"/>
          <w:numId w:val="1015"/>
        </w:numPr>
        <w:pStyle w:val="Compact"/>
      </w:pPr>
      <w:r>
        <w:t xml:space="preserve">Mass to Landfill: 4.0 kg * (1 - 0.80) = 0.8 kg</w:t>
      </w:r>
    </w:p>
    <w:p>
      <w:pPr>
        <w:numPr>
          <w:ilvl w:val="0"/>
          <w:numId w:val="1015"/>
        </w:numPr>
        <w:pStyle w:val="Compact"/>
      </w:pPr>
      <w:r>
        <w:t xml:space="preserve">Landfill Emission Factor: 1.0 kg CO2e/kg (simplified to represent methane potential)</w:t>
      </w:r>
    </w:p>
    <w:p>
      <w:pPr>
        <w:numPr>
          <w:ilvl w:val="0"/>
          <w:numId w:val="1015"/>
        </w:numPr>
        <w:pStyle w:val="Compact"/>
      </w:pPr>
      <w:r>
        <w:t xml:space="preserve">EoL Disposal Emissions: 0.8 kg * 1.0 kg CO2e/kg =</w:t>
      </w:r>
      <w:r>
        <w:t xml:space="preserve"> </w:t>
      </w:r>
      <w:r>
        <w:rPr>
          <w:bCs/>
          <w:b/>
        </w:rPr>
        <w:t xml:space="preserve">0.80 kg CO2e</w:t>
      </w:r>
      <w:r>
        <w:t xml:space="preserve">.</w:t>
      </w:r>
    </w:p>
    <w:p>
      <w:pPr>
        <w:numPr>
          <w:ilvl w:val="0"/>
          <w:numId w:val="1015"/>
        </w:numPr>
        <w:pStyle w:val="Compact"/>
      </w:pPr>
      <w:r>
        <w:rPr>
          <w:bCs/>
          <w:b/>
        </w:rPr>
        <w:t xml:space="preserve">Circular/Take-back Programs:</w:t>
      </w:r>
      <w:r>
        <w:t xml:space="preserve"> </w:t>
      </w:r>
      <w:r>
        <w:t xml:space="preserve">The existence of a take-back program [</w:t>
      </w:r>
      <w:r>
        <w:rPr>
          <w:rStyle w:val="VerbatimChar"/>
        </w:rPr>
        <w:t xml:space="preserve">yfqoyzysrf</w:t>
      </w:r>
      <w:r>
        <w:t xml:space="preserve">] supports the high recyclability percentage and promotes circularity, significantly reducing demand for virgin materials and associated upstream emissions, although these avoided emissions are not netted from the direct PCF sum per GHG Protocol guidance.</w:t>
      </w:r>
    </w:p>
    <w:bookmarkEnd w:id="35"/>
    <w:bookmarkEnd w:id="36"/>
    <w:bookmarkStart w:id="37"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16.35</w:t>
            </w:r>
          </w:p>
        </w:tc>
      </w:tr>
      <w:tr>
        <w:tc>
          <w:tcPr/>
          <w:p>
            <w:pPr>
              <w:pStyle w:val="Compact"/>
              <w:jc w:val="left"/>
            </w:pPr>
            <w:r>
              <w:t xml:space="preserve">Product Manufacturing</w:t>
            </w:r>
          </w:p>
        </w:tc>
        <w:tc>
          <w:tcPr/>
          <w:p>
            <w:pPr>
              <w:pStyle w:val="Compact"/>
              <w:jc w:val="left"/>
            </w:pPr>
            <w:r>
              <w:t xml:space="preserve">Scope 2</w:t>
            </w:r>
          </w:p>
        </w:tc>
        <w:tc>
          <w:tcPr/>
          <w:p>
            <w:pPr>
              <w:pStyle w:val="Compact"/>
              <w:jc w:val="left"/>
            </w:pPr>
            <w:r>
              <w:t xml:space="preserve">3.10</w:t>
            </w:r>
          </w:p>
        </w:tc>
      </w:tr>
      <w:tr>
        <w:tc>
          <w:tcPr/>
          <w:p>
            <w:pPr>
              <w:pStyle w:val="Compact"/>
              <w:jc w:val="left"/>
            </w:pPr>
            <w:r>
              <w:t xml:space="preserve">Transport (Upstream)</w:t>
            </w:r>
          </w:p>
        </w:tc>
        <w:tc>
          <w:tcPr/>
          <w:p>
            <w:pPr>
              <w:pStyle w:val="Compact"/>
              <w:jc w:val="left"/>
            </w:pPr>
            <w:r>
              <w:t xml:space="preserve">Scope 3 (Upstream)</w:t>
            </w:r>
          </w:p>
        </w:tc>
        <w:tc>
          <w:tcPr/>
          <w:p>
            <w:pPr>
              <w:pStyle w:val="Compact"/>
              <w:jc w:val="left"/>
            </w:pPr>
            <w:r>
              <w:t xml:space="preserve">0.51</w:t>
            </w:r>
          </w:p>
        </w:tc>
      </w:tr>
      <w:tr>
        <w:tc>
          <w:tcPr/>
          <w:p>
            <w:pPr>
              <w:pStyle w:val="Compact"/>
              <w:jc w:val="left"/>
            </w:pPr>
            <w:r>
              <w:t xml:space="preserve">Transport (Downstream - Main)</w:t>
            </w:r>
          </w:p>
        </w:tc>
        <w:tc>
          <w:tcPr/>
          <w:p>
            <w:pPr>
              <w:pStyle w:val="Compact"/>
              <w:jc w:val="left"/>
            </w:pPr>
            <w:r>
              <w:t xml:space="preserve">Scope 3 (Downstream)</w:t>
            </w:r>
          </w:p>
        </w:tc>
        <w:tc>
          <w:tcPr/>
          <w:p>
            <w:pPr>
              <w:pStyle w:val="Compact"/>
              <w:jc w:val="left"/>
            </w:pPr>
            <w:r>
              <w:t xml:space="preserve">0.51</w:t>
            </w:r>
          </w:p>
        </w:tc>
      </w:tr>
      <w:tr>
        <w:tc>
          <w:tcPr/>
          <w:p>
            <w:pPr>
              <w:pStyle w:val="Compact"/>
              <w:jc w:val="left"/>
            </w:pPr>
            <w:r>
              <w:t xml:space="preserve">Transport (Downstream - Last-Mile)</w:t>
            </w:r>
          </w:p>
        </w:tc>
        <w:tc>
          <w:tcPr/>
          <w:p>
            <w:pPr>
              <w:pStyle w:val="Compact"/>
              <w:jc w:val="left"/>
            </w:pPr>
            <w:r>
              <w:t xml:space="preserve">Scope 3 (Downstream)</w:t>
            </w:r>
          </w:p>
        </w:tc>
        <w:tc>
          <w:tcPr/>
          <w:p>
            <w:pPr>
              <w:pStyle w:val="Compact"/>
              <w:jc w:val="left"/>
            </w:pPr>
            <w:r>
              <w:t xml:space="preserve">0.03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24.00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0.80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45.30 kg CO2e</w:t>
            </w:r>
          </w:p>
        </w:tc>
      </w:tr>
    </w:tbl>
    <w:p>
      <w:r>
        <w:pict>
          <v:rect style="width:0;height:1.5pt" o:hralign="center" o:hrstd="t" o:hr="t"/>
        </w:pict>
      </w:r>
    </w:p>
    <w:bookmarkEnd w:id="37"/>
    <w:bookmarkEnd w:id="38"/>
    <w:bookmarkStart w:id="42" w:name="review-report-hotspots-and-reliability"/>
    <w:p>
      <w:pPr>
        <w:pStyle w:val="Heading2"/>
      </w:pPr>
      <w:r>
        <w:t xml:space="preserve">5. Review &amp; Report: Hotspots and Reliability</w:t>
      </w:r>
    </w:p>
    <w:p>
      <w:pPr>
        <w:pStyle w:val="FirstParagraph"/>
      </w:pPr>
      <w:r>
        <w:t xml:space="preserve">The Product Carbon Footprint for urwsonenxd is calculated to be</w:t>
      </w:r>
      <w:r>
        <w:t xml:space="preserve"> </w:t>
      </w:r>
      <w:r>
        <w:rPr>
          <w:bCs/>
          <w:b/>
        </w:rPr>
        <w:t xml:space="preserve">45.30 kg CO2e</w:t>
      </w:r>
      <w:r>
        <w:t xml:space="preserve"> </w:t>
      </w:r>
      <w:r>
        <w:t xml:space="preserve">per functional unit.</w:t>
      </w:r>
    </w:p>
    <w:bookmarkStart w:id="39" w:name="emission-hotspots"/>
    <w:p>
      <w:pPr>
        <w:pStyle w:val="Heading3"/>
      </w:pPr>
      <w:r>
        <w:t xml:space="preserve">Emission Hotspots</w:t>
      </w:r>
    </w:p>
    <w:p>
      <w:pPr>
        <w:pStyle w:val="FirstParagraph"/>
      </w:pPr>
      <w:r>
        <w:t xml:space="preserve">The analysis identifies the following key emission hotspots across the product\'s lifecycle:</w:t>
      </w:r>
    </w:p>
    <w:p>
      <w:pPr>
        <w:numPr>
          <w:ilvl w:val="0"/>
          <w:numId w:val="1016"/>
        </w:numPr>
        <w:pStyle w:val="Compact"/>
      </w:pPr>
      <w:r>
        <w:rPr>
          <w:bCs/>
          <w:b/>
        </w:rPr>
        <w:t xml:space="preserve">Use Phase (24.00 kg CO2e):</w:t>
      </w:r>
      <w:r>
        <w:t xml:space="preserve"> </w:t>
      </w:r>
      <w:r>
        <w:t xml:space="preserve">This stage accounts for the largest portion of the PCF, primarily due to the energy consumption of the product over its 3-year lifespan. This highlights the importance of improving product energy efficiency and promoting renewable energy adoption by end-users.</w:t>
      </w:r>
    </w:p>
    <w:p>
      <w:pPr>
        <w:numPr>
          <w:ilvl w:val="0"/>
          <w:numId w:val="1016"/>
        </w:numPr>
        <w:pStyle w:val="Compact"/>
      </w:pPr>
      <w:r>
        <w:rPr>
          <w:bCs/>
          <w:b/>
        </w:rPr>
        <w:t xml:space="preserve">Material Acquisition &amp; Pre-processing (16.35 kg CO2e):</w:t>
      </w:r>
      <w:r>
        <w:t xml:space="preserve"> </w:t>
      </w:r>
      <w:r>
        <w:t xml:space="preserve">The impacts from raw material extraction and manufacturing are significant, particularly for components like the Lithium Battery and Circuit Board, which typically have high embodied carbon. Prioritizing recycled content and lower-impact materials can substantially reduce this footprint.</w:t>
      </w:r>
    </w:p>
    <w:p>
      <w:pPr>
        <w:numPr>
          <w:ilvl w:val="0"/>
          <w:numId w:val="1016"/>
        </w:numPr>
        <w:pStyle w:val="Compact"/>
      </w:pPr>
      <w:r>
        <w:rPr>
          <w:bCs/>
          <w:b/>
        </w:rPr>
        <w:t xml:space="preserve">Product Manufacturing (3.10 kg CO2e):</w:t>
      </w:r>
      <w:r>
        <w:t xml:space="preserve"> </w:t>
      </w:r>
      <w:r>
        <w:t xml:space="preserve">While notable, emissions from the manufacturing process itself are moderated by the 50% renewable energy usage. Further increasing renewable energy sourcing will directly reduce this Scope 2 footprint.</w:t>
      </w:r>
    </w:p>
    <w:bookmarkEnd w:id="39"/>
    <w:bookmarkStart w:id="40" w:name="reliability-and-limitations"/>
    <w:p>
      <w:pPr>
        <w:pStyle w:val="Heading3"/>
      </w:pPr>
      <w:r>
        <w:t xml:space="preserve">Reliability and Limitations</w:t>
      </w:r>
    </w:p>
    <w:p>
      <w:pPr>
        <w:pStyle w:val="FirstParagraph"/>
      </w:pPr>
      <w:r>
        <w:t xml:space="preserve">The reliability of this report is high, leveraging specific primary data where available (e.g., Detailed BOM) and robust secondary industry-average emission factors from reputable sources such as Ecoinvent/DEFRA.</w:t>
      </w:r>
    </w:p>
    <w:p>
      <w:pPr>
        <w:numPr>
          <w:ilvl w:val="0"/>
          <w:numId w:val="1017"/>
        </w:numPr>
        <w:pStyle w:val="Compact"/>
      </w:pPr>
      <w:r>
        <w:rPr>
          <w:bCs/>
          <w:b/>
        </w:rPr>
        <w:t xml:space="preserve">Data Quality:</w:t>
      </w:r>
      <w:r>
        <w:t xml:space="preserve"> </w:t>
      </w:r>
      <w:r>
        <w:t xml:space="preserve">The use of a detailed Bill of Materials (pyywpein) significantly enhances the accuracy of material impact calculations compared to default estimates.</w:t>
      </w:r>
    </w:p>
    <w:p>
      <w:pPr>
        <w:numPr>
          <w:ilvl w:val="0"/>
          <w:numId w:val="1017"/>
        </w:numPr>
        <w:pStyle w:val="Compact"/>
      </w:pPr>
      <w:r>
        <w:rPr>
          <w:bCs/>
          <w:b/>
        </w:rPr>
        <w:t xml:space="preserve">Emission Factors:</w:t>
      </w:r>
      <w:r>
        <w:t xml:space="preserve"> </w:t>
      </w:r>
      <w:r>
        <w:t xml:space="preserve">Industry-standard emission factors were applied, representing typical impacts for the specified activities and regions. It is important to note that actual values can vary based on specific supplier data and energy mixes not explicitly detailed.</w:t>
      </w:r>
    </w:p>
    <w:p>
      <w:pPr>
        <w:numPr>
          <w:ilvl w:val="0"/>
          <w:numId w:val="1017"/>
        </w:numPr>
        <w:pStyle w:val="Compact"/>
      </w:pPr>
      <w:r>
        <w:rPr>
          <w:bCs/>
          <w:b/>
        </w:rPr>
        <w:t xml:space="preserve">Assumptions:</w:t>
      </w:r>
      <w:r>
        <w:t xml:space="preserve"> </w:t>
      </w:r>
      <w:r>
        <w:t xml:space="preserve">Assumptions were made for generic transport distances (e.g., last-mile), general electricity mix for the use phase, and simplified landfill emissions. Further primary data collection in these areas would refine the accuracy.</w:t>
      </w:r>
    </w:p>
    <w:p>
      <w:pPr>
        <w:numPr>
          <w:ilvl w:val="0"/>
          <w:numId w:val="1017"/>
        </w:numPr>
        <w:pStyle w:val="Compact"/>
      </w:pPr>
      <w:r>
        <w:rPr>
          <w:bCs/>
          <w:b/>
        </w:rPr>
        <w:t xml:space="preserve">LSR Standard:</w:t>
      </w:r>
      <w:r>
        <w:t xml:space="preserve"> </w:t>
      </w:r>
      <w:r>
        <w:t xml:space="preserve">While the LSR Standard for 2026 is acknowledged, specific quantification of land use change or carbon removals directly attributable to the product\'s supply chain would require more granular data on the origin and cultivation of any biomass-derived materials, which was beyond the scope of this general PCF analysis.</w:t>
      </w:r>
    </w:p>
    <w:p>
      <w:pPr>
        <w:numPr>
          <w:ilvl w:val="0"/>
          <w:numId w:val="1017"/>
        </w:numPr>
        <w:pStyle w:val="Compact"/>
      </w:pPr>
      <w:r>
        <w:rPr>
          <w:bCs/>
          <w:b/>
        </w:rPr>
        <w:t xml:space="preserve">Scope 3 Coverage:</w:t>
      </w:r>
      <w:r>
        <w:t xml:space="preserve"> </w:t>
      </w:r>
      <w:r>
        <w:t xml:space="preserve">With detailed consideration of material acquisition, manufacturing energy, transport (upstream and downstream), product use, and end-of-life, this analysis provides substantial coverage of Scope 3 emissions, aligning with the stringent 95% coverage requirement proposed in the 2026 GHG Protocol Scope 3 revisions.</w:t>
      </w:r>
    </w:p>
    <w:bookmarkEnd w:id="40"/>
    <w:bookmarkStart w:id="41" w:name="recommendations"/>
    <w:p>
      <w:pPr>
        <w:pStyle w:val="Heading3"/>
      </w:pPr>
      <w:r>
        <w:t xml:space="preserve">Recommendations</w:t>
      </w:r>
    </w:p>
    <w:p>
      <w:pPr>
        <w:pStyle w:val="FirstParagraph"/>
      </w:pPr>
      <w:r>
        <w:t xml:space="preserve">To further reduce the Product Carbon Footprint of urwsonenxd, xvfspzmfpm should consider:</w:t>
      </w:r>
    </w:p>
    <w:p>
      <w:pPr>
        <w:numPr>
          <w:ilvl w:val="0"/>
          <w:numId w:val="1018"/>
        </w:numPr>
        <w:pStyle w:val="Compact"/>
      </w:pPr>
      <w:r>
        <w:rPr>
          <w:bCs/>
          <w:b/>
        </w:rPr>
        <w:t xml:space="preserve">Energy Efficiency in Use Phase:</w:t>
      </w:r>
      <w:r>
        <w:t xml:space="preserve"> </w:t>
      </w:r>
      <w:r>
        <w:t xml:space="preserve">Invest in R&amp;D to enhance the energy efficiency of urwsonenxd during its operational life.</w:t>
      </w:r>
    </w:p>
    <w:p>
      <w:pPr>
        <w:numPr>
          <w:ilvl w:val="0"/>
          <w:numId w:val="1018"/>
        </w:numPr>
        <w:pStyle w:val="Compact"/>
      </w:pPr>
      <w:r>
        <w:rPr>
          <w:bCs/>
          <w:b/>
        </w:rPr>
        <w:t xml:space="preserve">Sustainable Material Sourcing:</w:t>
      </w:r>
      <w:r>
        <w:t xml:space="preserve"> </w:t>
      </w:r>
      <w:r>
        <w:t xml:space="preserve">Explore opportunities to increase the use of recycled content or materials with lower embodied carbon, especially for high-impact components.</w:t>
      </w:r>
    </w:p>
    <w:p>
      <w:pPr>
        <w:numPr>
          <w:ilvl w:val="0"/>
          <w:numId w:val="1018"/>
        </w:numPr>
        <w:pStyle w:val="Compact"/>
      </w:pPr>
      <w:r>
        <w:rPr>
          <w:bCs/>
          <w:b/>
        </w:rPr>
        <w:t xml:space="preserve">Renewable Energy Integration:</w:t>
      </w:r>
      <w:r>
        <w:t xml:space="preserve"> </w:t>
      </w:r>
      <w:r>
        <w:t xml:space="preserve">Continue to increase renewable energy penetration in manufacturing operations and encourage suppliers to do the same.</w:t>
      </w:r>
    </w:p>
    <w:p>
      <w:pPr>
        <w:numPr>
          <w:ilvl w:val="0"/>
          <w:numId w:val="1018"/>
        </w:numPr>
        <w:pStyle w:val="Compact"/>
      </w:pPr>
      <w:r>
        <w:rPr>
          <w:bCs/>
          <w:b/>
        </w:rPr>
        <w:t xml:space="preserve">Logistics Optimization:</w:t>
      </w:r>
      <w:r>
        <w:t xml:space="preserve"> </w:t>
      </w:r>
      <w:r>
        <w:t xml:space="preserve">Optimize transport routes and modes to minimize emissions, potentially exploring closer-to-production sourcing or more efficient logistics partners.</w:t>
      </w:r>
    </w:p>
    <w:p>
      <w:pPr>
        <w:numPr>
          <w:ilvl w:val="0"/>
          <w:numId w:val="1018"/>
        </w:numPr>
        <w:pStyle w:val="Compact"/>
      </w:pPr>
      <w:r>
        <w:rPr>
          <w:bCs/>
          <w:b/>
        </w:rPr>
        <w:t xml:space="preserve">Circular Economy Initiatives:</w:t>
      </w:r>
      <w:r>
        <w:t xml:space="preserve"> </w:t>
      </w:r>
      <w:r>
        <w:t xml:space="preserve">Leverage existing take-back programs and explore new circular models to maximize material recovery and reuse, reducing the burden on virgin resources and waste disposal.</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urwsonenxd</dc:title>
  <dc:creator/>
  <dc:description>High-detail Product Carbon Footprint (PCF) analysis for urwsonenxd by Senior Sustainability Consultant wkdphpxxxo, adhering to GHG Protocol standards and 2026 updates for xvfspzmfpm.</dc:description>
  <dc:language>en</dc:language>
  <cp:keywords/>
  <dcterms:created xsi:type="dcterms:W3CDTF">2026-05-30T14:51:02Z</dcterms:created>
  <dcterms:modified xsi:type="dcterms:W3CDTF">2026-05-30T14:51:02Z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