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urkdxmuktg</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urkdxmuktg</w:t>
      </w:r>
    </w:p>
    <w:p>
      <w:pPr>
        <w:pStyle w:val="BodyText"/>
      </w:pPr>
      <w:r>
        <w:rPr>
          <w:bCs/>
          <w:b/>
        </w:rPr>
        <w:t xml:space="preserve">Company Name:</w:t>
      </w:r>
      <w:r>
        <w:t xml:space="preserve"> </w:t>
      </w:r>
      <w:r>
        <w:t xml:space="preserve">xojiqjsxno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iwsxkixwkf</w:t>
      </w:r>
    </w:p>
    <w:p>
      <w:pPr>
        <w:pStyle w:val="BodyText"/>
      </w:pPr>
      <w:r>
        <w:t xml:space="preserve">Disclaimer: This report is generated based on available data and industry standards. While every effort has been made to ensure accuracy, specific conditions and data availability may lead to variations in actual emissions.</w:t>
      </w:r>
    </w:p>
    <w:bookmarkEnd w:id="20"/>
    <w:bookmarkStart w:id="48" w:name="Xa0e3e8bc3469b81d1b5a2ed3f1d39fae2a341cb"/>
    <w:p>
      <w:pPr>
        <w:pStyle w:val="Heading1"/>
      </w:pPr>
      <w:r>
        <w:t xml:space="preserve">Product Carbon Footprint Analysis: urkdxmuktg</w:t>
      </w:r>
    </w:p>
    <w:p>
      <w:pPr>
        <w:pStyle w:val="FirstParagraph"/>
      </w:pPr>
      <w:r>
        <w:rPr>
          <w:bCs/>
          <w:b/>
        </w:rPr>
        <w:t xml:space="preserve">Generated Date:</w:t>
      </w:r>
      <w:r>
        <w:t xml:space="preserve"> </w:t>
      </w:r>
      <w:r>
        <w:t xml:space="preserve">May 24, 2026</w:t>
      </w:r>
    </w:p>
    <w:p>
      <w:pPr>
        <w:pStyle w:val="BodyText"/>
      </w:pPr>
      <w:r>
        <w:rPr>
          <w:bCs/>
          <w:b/>
        </w:rPr>
        <w:t xml:space="preserve">Company Name:</w:t>
      </w:r>
      <w:r>
        <w:t xml:space="preserve"> </w:t>
      </w:r>
      <w:r>
        <w:t xml:space="preserve">xojiqjsxno</w:t>
      </w:r>
    </w:p>
    <w:p>
      <w:pPr>
        <w:pStyle w:val="BodyText"/>
      </w:pPr>
      <w:r>
        <w:rPr>
          <w:bCs/>
          <w:b/>
        </w:rPr>
        <w:t xml:space="preserve">Senior Sustainability Consultant:</w:t>
      </w:r>
      <w:r>
        <w:t xml:space="preserve"> </w:t>
      </w:r>
      <w:r>
        <w:t xml:space="preserve">iwsxkixwkf</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urkdxmuktg</w:t>
      </w:r>
      <w:r>
        <w:t xml:space="preserve">, manufactured by</w:t>
      </w:r>
      <w:r>
        <w:t xml:space="preserve"> </w:t>
      </w:r>
      <w:r>
        <w:rPr>
          <w:bCs/>
          <w:b/>
        </w:rPr>
        <w:t xml:space="preserve">xojiqjsxno</w:t>
      </w:r>
      <w:r>
        <w:t xml:space="preserve">. The assessment adheres to the GHG Protocol, covering emissions across the product\'s entire lifecycle from raw material acquisition through manufacturing, transport, use, and end-of-life. As a Senior Sustainability Consultant, iwsxkixwkf has performed this analysis to identify key emission hotspots and provide a robust carbon footprint estimate for the functional unit of 1.0 unit of urkdxmuktg. The total estimated Product Carbon Footprint for one functional unit of urkdxmuktg is</w:t>
      </w:r>
      <w:r>
        <w:t xml:space="preserve"> </w:t>
      </w:r>
      <w:r>
        <w:rPr>
          <w:bCs/>
          <w:b/>
        </w:rPr>
        <w:t xml:space="preserve">53.06 kgCO2e</w:t>
      </w:r>
      <w:r>
        <w:t xml:space="preserv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Product Carbon Footprint (PCF) analysis for urkdxmuktg follows the rigorous framework established by the</w:t>
      </w:r>
      <w:r>
        <w:t xml:space="preserve"> </w:t>
      </w:r>
      <w:r>
        <w:rPr>
          <w:bCs/>
          <w:b/>
        </w:rPr>
        <w:t xml:space="preserve">GHG Protocol Product Life Cycle Accounting and Reporting Standard</w:t>
      </w:r>
      <w:r>
        <w:t xml:space="preserve">. This ensures a comprehensive and transparent assessment of greenhouse gas (GHG) emissions across the product\'s value chain.</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urkdxmuktg</w:t>
      </w:r>
      <w:r>
        <w:t xml:space="preserve">.</w:t>
      </w:r>
    </w:p>
    <w:bookmarkEnd w:id="22"/>
    <w:bookmarkStart w:id="23" w:name="system-boundary"/>
    <w:p>
      <w:pPr>
        <w:pStyle w:val="Heading3"/>
      </w:pPr>
      <w:r>
        <w:t xml:space="preserve">1.2. System Boundary</w:t>
      </w:r>
    </w:p>
    <w:p>
      <w:pPr>
        <w:numPr>
          <w:ilvl w:val="0"/>
          <w:numId w:val="1002"/>
        </w:numPr>
        <w:pStyle w:val="Compact"/>
      </w:pPr>
      <w:r>
        <w:t xml:space="preserve">The system boundary for this PCF is</w:t>
      </w:r>
      <w:r>
        <w:t xml:space="preserve"> </w:t>
      </w:r>
      <w:r>
        <w:rPr>
          <w:bCs/>
          <w:b/>
        </w:rPr>
        <w:t xml:space="preserve">cradle-to-grave</w:t>
      </w:r>
      <w:r>
        <w:t xml:space="preserve">, encompassing all stages from raw material extraction and processing, manufacturing (factory_gate), distribution, the product\'s use phase, and its end-of-life treatment. This provides a holistic view of the product\'s environmental impact.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(specifically for downstream transport, use phase, and end-of-life scenarios).</w:t>
      </w:r>
    </w:p>
    <w:bookmarkEnd w:id="24"/>
    <w:bookmarkStart w:id="25" w:name="accounting-standard"/>
    <w:p>
      <w:pPr>
        <w:pStyle w:val="Heading3"/>
      </w:pPr>
      <w:r>
        <w:t xml:space="preserve">1.4. Accounting Standard</w:t>
      </w:r>
    </w:p>
    <w:p>
      <w:pPr>
        <w:numPr>
          <w:ilvl w:val="0"/>
          <w:numId w:val="1004"/>
        </w:numPr>
        <w:pStyle w:val="Compact"/>
      </w:pPr>
      <w:r>
        <w:t xml:space="preserve">All calculations and reporting are conducted in accordance with the</w:t>
      </w:r>
      <w:r>
        <w:t xml:space="preserve"> </w:t>
      </w:r>
      <w:r>
        <w:rPr>
          <w:bCs/>
          <w:b/>
        </w:rPr>
        <w:t xml:space="preserve">GHG Protocol</w:t>
      </w:r>
      <w:r>
        <w:t xml:space="preserve">. Emissions are categorized into Scope 1 (direct), Scope 2 (purchased energy), and Scope 3 (value chain) where applicable, although PCFs typically integrate these into lifecycle stages rather than explicit corporate scope breakdowns.</w:t>
      </w:r>
    </w:p>
    <w:p>
      <w:pPr>
        <w:numPr>
          <w:ilvl w:val="0"/>
          <w:numId w:val="1004"/>
        </w:numPr>
        <w:pStyle w:val="Compact"/>
      </w:pPr>
      <w:r>
        <w:rPr>
          <w:bCs/>
          <w:b/>
        </w:rPr>
        <w:t xml:space="preserve">2026 LSR Update:</w:t>
      </w:r>
      <w:r>
        <w:t xml:space="preserve"> </w:t>
      </w:r>
      <w:r>
        <w:t xml:space="preserve">The Land Sector and Removals (LSR) Standard, effective January 1, 2027, is recognized for its upcoming application in accounting for land emissions and CO₂ removals. While detailed guidance is expected in Q2 2026, this report acknowledges its future relevance, particularly for any land-based inputs or removals associated with raw materials or processes in future iterations.</w:t>
      </w:r>
    </w:p>
    <w:p>
      <w:pPr>
        <w:numPr>
          <w:ilvl w:val="0"/>
          <w:numId w:val="1004"/>
        </w:numPr>
        <w:pStyle w:val="Compact"/>
      </w:pPr>
      <w:r>
        <w:rPr>
          <w:bCs/>
          <w:b/>
        </w:rPr>
        <w:t xml:space="preserve">Scope 3 Compliance:</w:t>
      </w:r>
      <w:r>
        <w:t xml:space="preserve"> </w:t>
      </w:r>
      <w:r>
        <w:t xml:space="preserve">This analysis aims for at least 95% coverage for Scope 3 reporting, aligning with the stringent 2026 requirements for comprehensive value chain emissions disclosure.</w:t>
      </w:r>
    </w:p>
    <w:bookmarkEnd w:id="25"/>
    <w:bookmarkStart w:id="26" w:name="allocation"/>
    <w:p>
      <w:pPr>
        <w:pStyle w:val="Heading3"/>
      </w:pPr>
      <w:r>
        <w:t xml:space="preserve">1.5. Allocation</w:t>
      </w:r>
    </w:p>
    <w:p>
      <w:pPr>
        <w:numPr>
          <w:ilvl w:val="0"/>
          <w:numId w:val="1005"/>
        </w:numPr>
        <w:pStyle w:val="Compact"/>
      </w:pPr>
      <w:r>
        <w:t xml:space="preserve">Where co-production or multi-output processes occur (not explicitly detailed in provided parameters), allocation is performed using mass-based or economic allocation principles as deemed most appropriate by industry standards. For this product, direct emissions factors per unit of material or energy are primarily utilized.</w:t>
      </w:r>
    </w:p>
    <w:p>
      <w:r>
        <w:pict>
          <v:rect style="width:0;height:1.5pt" o:hralign="center" o:hrstd="t" o:hr="t"/>
        </w:pict>
      </w:r>
    </w:p>
    <w:bookmarkEnd w:id="26"/>
    <w:bookmarkEnd w:id="27"/>
    <w:bookmarkStart w:id="34" w:name="lifecycle-mapping-and-data-collection"/>
    <w:p>
      <w:pPr>
        <w:pStyle w:val="Heading2"/>
      </w:pPr>
      <w:r>
        <w:t xml:space="preserve">2. Lifecycle Mapping and Data Collection</w:t>
      </w:r>
    </w:p>
    <w:p>
      <w:pPr>
        <w:pStyle w:val="FirstParagraph"/>
      </w:pPr>
      <w:r>
        <w:t xml:space="preserve">The lifecycle of urkdxmuktg is mapped into distinct stages to systematically collect data and calculate emissions.</w:t>
      </w:r>
    </w:p>
    <w:bookmarkStart w:id="28" w:name="lifecycle-stages"/>
    <w:p>
      <w:pPr>
        <w:pStyle w:val="Heading3"/>
      </w:pPr>
      <w:r>
        <w:t xml:space="preserve">2.1. Lifecycle Stages</w:t>
      </w:r>
    </w:p>
    <w:p>
      <w:pPr>
        <w:numPr>
          <w:ilvl w:val="0"/>
          <w:numId w:val="1006"/>
        </w:numPr>
        <w:pStyle w:val="Compact"/>
      </w:pPr>
      <w:r>
        <w:rPr>
          <w:bCs/>
          <w:b/>
        </w:rPr>
        <w:t xml:space="preserve">Raw Material Acquisition &amp; Processing:</w:t>
      </w:r>
      <w:r>
        <w:t xml:space="preserve"> </w:t>
      </w:r>
      <w:r>
        <w:t xml:space="preserve">Extraction, processing, and refining of all materials listed in the Bill of Materials (BOM).</w:t>
      </w:r>
    </w:p>
    <w:p>
      <w:pPr>
        <w:numPr>
          <w:ilvl w:val="0"/>
          <w:numId w:val="1006"/>
        </w:numPr>
        <w:pStyle w:val="Compact"/>
      </w:pPr>
      <w:r>
        <w:rPr>
          <w:bCs/>
          <w:b/>
        </w:rPr>
        <w:t xml:space="preserve">Manufacturing:</w:t>
      </w:r>
      <w:r>
        <w:t xml:space="preserve"> </w:t>
      </w:r>
      <w:r>
        <w:t xml:space="preserve">Production processes at the final assembly plant in China, including energy consumption.</w:t>
      </w:r>
    </w:p>
    <w:p>
      <w:pPr>
        <w:numPr>
          <w:ilvl w:val="0"/>
          <w:numId w:val="1006"/>
        </w:numPr>
        <w:pStyle w:val="Compact"/>
      </w:pPr>
      <w:r>
        <w:rPr>
          <w:bCs/>
          <w:b/>
        </w:rPr>
        <w:t xml:space="preserve">Transport (Upstream &amp; Downstream):</w:t>
      </w:r>
      <w:r>
        <w:t xml:space="preserve"> </w:t>
      </w:r>
      <w:r>
        <w:t xml:space="preserve">Transportation of raw materials to the factory (upstream) and distribution of the finished product to the customer, including last-mile delivery (downstream).</w:t>
      </w:r>
    </w:p>
    <w:p>
      <w:pPr>
        <w:numPr>
          <w:ilvl w:val="0"/>
          <w:numId w:val="1006"/>
        </w:numPr>
        <w:pStyle w:val="Compact"/>
      </w:pPr>
      <w:r>
        <w:rPr>
          <w:bCs/>
          <w:b/>
        </w:rPr>
        <w:t xml:space="preserve">Use Phase:</w:t>
      </w:r>
      <w:r>
        <w:t xml:space="preserve"> </w:t>
      </w:r>
      <w:r>
        <w:t xml:space="preserve">Energy consumption and typical usage patterns over the product\'s lifespan.</w:t>
      </w:r>
    </w:p>
    <w:p>
      <w:pPr>
        <w:numPr>
          <w:ilvl w:val="0"/>
          <w:numId w:val="1006"/>
        </w:numPr>
        <w:pStyle w:val="Compact"/>
      </w:pPr>
      <w:r>
        <w:rPr>
          <w:bCs/>
          <w:b/>
        </w:rPr>
        <w:t xml:space="preserve">End-of-Life:</w:t>
      </w:r>
      <w:r>
        <w:t xml:space="preserve"> </w:t>
      </w:r>
      <w:r>
        <w:t xml:space="preserve">Disposal or recycling of the product at the end of its useful life.</w:t>
      </w:r>
    </w:p>
    <w:bookmarkEnd w:id="28"/>
    <w:bookmarkStart w:id="29" w:name="X7da8f633ea1061e525b163fe6dc028f92669274"/>
    <w:p>
      <w:pPr>
        <w:pStyle w:val="Heading3"/>
      </w:pPr>
      <w:r>
        <w:t xml:space="preserve">2.2. Detailed Bill of Materials (BOM) - uhyzxhlv</w:t>
      </w:r>
    </w:p>
    <w:p>
      <w:pPr>
        <w:pStyle w:val="FirstParagraph"/>
      </w:pPr>
      <w:r>
        <w:t xml:space="preserve">The following table details the materials, quantities, and their associated carbon emissions, providing high-accuracy material impact calculation for urkdxmuktg. The \'Total Carbon\' column represents the pre-calculated emissions for each material based on its quantity and emission factor. These values are directly incorporated into the Raw Materials section.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Steel (recycled)</w:t>
            </w:r>
          </w:p>
        </w:tc>
        <w:tc>
          <w:tcPr/>
          <w:p>
            <w:pPr>
              <w:pStyle w:val="Compact"/>
              <w:jc w:val="left"/>
            </w:pPr>
            <w:r>
              <w:t xml:space="preserve">Metal</w:t>
            </w:r>
          </w:p>
        </w:tc>
        <w:tc>
          <w:tcPr/>
          <w:p>
            <w:pPr>
              <w:pStyle w:val="Compact"/>
              <w:jc w:val="left"/>
            </w:pPr>
            <w:r>
              <w:t xml:space="preserve">Sheet Forming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MAT003</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MAT004</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Die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Cell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w:t>
            </w:r>
          </w:p>
        </w:tc>
      </w:tr>
      <w:tr>
        <w:tc>
          <w:tcPr>
            <w:gridSpan w:val="7"/>
          </w:tcPr>
          <w:p>
            <w:pPr>
              <w:pStyle w:val="Compact"/>
              <w:jc w:val="right"/>
            </w:pPr>
            <w:r>
              <w:t xml:space="preserve">Total Material Carbon:</w:t>
            </w:r>
          </w:p>
        </w:tc>
        <w:tc>
          <w:tcPr/>
          <w:p>
            <w:pPr>
              <w:pStyle w:val="Compact"/>
              <w:jc w:val="left"/>
            </w:pPr>
            <w:r>
              <w:t xml:space="preserve">8.15</w:t>
            </w:r>
          </w:p>
        </w:tc>
      </w:tr>
    </w:tbl>
    <w:p>
      <w:pPr>
        <w:pStyle w:val="BodyText"/>
      </w:pPr>
      <w:r>
        <w:rPr>
          <w:bCs/>
          <w:b/>
        </w:rPr>
        <w:t xml:space="preserve">Total Product Mass (derived from BOM for transport/EoL):</w:t>
      </w:r>
      <w:r>
        <w:t xml:space="preserve"> </w:t>
      </w:r>
      <w:r>
        <w:t xml:space="preserve">2.65 kg (assuming 1 unit of PCBA = 0.05kg and 1 unit of Lithium-ion Battery = 0.1kg for mass calculation consistency).</w:t>
      </w:r>
    </w:p>
    <w:bookmarkEnd w:id="29"/>
    <w:bookmarkStart w:id="30" w:name="energy-inputs-production-phase"/>
    <w:p>
      <w:pPr>
        <w:pStyle w:val="Heading3"/>
      </w:pPr>
      <w:r>
        <w:t xml:space="preserve">2.3. Energy Inputs (Production Phase)</w:t>
      </w:r>
    </w:p>
    <w:p>
      <w:pPr>
        <w:numPr>
          <w:ilvl w:val="0"/>
          <w:numId w:val="1007"/>
        </w:numPr>
        <w:pStyle w:val="Compact"/>
      </w:pPr>
      <w:r>
        <w:rPr>
          <w:bCs/>
          <w:b/>
        </w:rPr>
        <w:t xml:space="preserve">Energy Intensity (kWh/unit):</w:t>
      </w:r>
      <w:r>
        <w:t xml:space="preserve"> </w:t>
      </w:r>
      <w:r>
        <w:t xml:space="preserve">mkplvvrtdj (15 kWh/unit)</w:t>
      </w:r>
    </w:p>
    <w:p>
      <w:pPr>
        <w:numPr>
          <w:ilvl w:val="0"/>
          <w:numId w:val="1007"/>
        </w:numPr>
        <w:pStyle w:val="Compact"/>
      </w:pPr>
      <w:r>
        <w:rPr>
          <w:bCs/>
          <w:b/>
        </w:rPr>
        <w:t xml:space="preserve">Renewable Energy Usage:</w:t>
      </w:r>
      <w:r>
        <w:t xml:space="preserve"> </w:t>
      </w:r>
      <w:r>
        <w:t xml:space="preserve">kmdytueevs (60%)</w:t>
      </w:r>
    </w:p>
    <w:p>
      <w:pPr>
        <w:numPr>
          <w:ilvl w:val="0"/>
          <w:numId w:val="1007"/>
        </w:numPr>
        <w:pStyle w:val="Compact"/>
      </w:pPr>
      <w:r>
        <w:rPr>
          <w:bCs/>
          <w:b/>
        </w:rPr>
        <w:t xml:space="preserve">Non-renewable Grid Electricity:</w:t>
      </w:r>
      <w:r>
        <w:t xml:space="preserve"> </w:t>
      </w:r>
      <w:r>
        <w:t xml:space="preserve">40% (1 - 60%)</w:t>
      </w:r>
    </w:p>
    <w:bookmarkEnd w:id="30"/>
    <w:bookmarkStart w:id="31" w:name="logistics-data"/>
    <w:p>
      <w:pPr>
        <w:pStyle w:val="Heading3"/>
      </w:pPr>
      <w:r>
        <w:t xml:space="preserve">2.4. Logistics Data</w:t>
      </w:r>
    </w:p>
    <w:p>
      <w:pPr>
        <w:numPr>
          <w:ilvl w:val="0"/>
          <w:numId w:val="1008"/>
        </w:numPr>
        <w:pStyle w:val="Compact"/>
      </w:pPr>
      <w:r>
        <w:rPr>
          <w:bCs/>
          <w:b/>
        </w:rPr>
        <w:t xml:space="preserve">Main Transport Mode:</w:t>
      </w:r>
      <w:r>
        <w:t xml:space="preserve"> </w:t>
      </w:r>
      <w:r>
        <w:t xml:space="preserve">Select Mode (Road Freight)</w:t>
      </w:r>
    </w:p>
    <w:p>
      <w:pPr>
        <w:numPr>
          <w:ilvl w:val="0"/>
          <w:numId w:val="1008"/>
        </w:numPr>
        <w:pStyle w:val="Compact"/>
      </w:pPr>
      <w:r>
        <w:rPr>
          <w:bCs/>
          <w:b/>
        </w:rPr>
        <w:t xml:space="preserve">Main Transport Distance:</w:t>
      </w:r>
      <w:r>
        <w:t xml:space="preserve"> </w:t>
      </w:r>
      <w:r>
        <w:t xml:space="preserve">minqlzmxgs (2000 km from China factory gate to European distribution hub)</w:t>
      </w:r>
    </w:p>
    <w:p>
      <w:pPr>
        <w:numPr>
          <w:ilvl w:val="0"/>
          <w:numId w:val="1008"/>
        </w:numPr>
        <w:pStyle w:val="Compact"/>
      </w:pPr>
      <w:r>
        <w:rPr>
          <w:bCs/>
          <w:b/>
        </w:rPr>
        <w:t xml:space="preserve">Last-Mile Delivery Channel:</w:t>
      </w:r>
      <w:r>
        <w:t xml:space="preserve"> </w:t>
      </w:r>
      <w:r>
        <w:t xml:space="preserve">Delivery Type (Van)</w:t>
      </w:r>
    </w:p>
    <w:p>
      <w:pPr>
        <w:numPr>
          <w:ilvl w:val="0"/>
          <w:numId w:val="1008"/>
        </w:numPr>
        <w:pStyle w:val="Compact"/>
      </w:pPr>
      <w:r>
        <w:rPr>
          <w:bCs/>
          <w:b/>
        </w:rPr>
        <w:t xml:space="preserve">Last-Mile Delivery Distance (Assumed):</w:t>
      </w:r>
      <w:r>
        <w:t xml:space="preserve"> </w:t>
      </w:r>
      <w:r>
        <w:t xml:space="preserve">50 km</w:t>
      </w:r>
    </w:p>
    <w:bookmarkEnd w:id="31"/>
    <w:bookmarkStart w:id="32" w:name="use-phase-data"/>
    <w:p>
      <w:pPr>
        <w:pStyle w:val="Heading3"/>
      </w:pPr>
      <w:r>
        <w:t xml:space="preserve">2.5. Use Phase Data</w:t>
      </w:r>
    </w:p>
    <w:p>
      <w:pPr>
        <w:numPr>
          <w:ilvl w:val="0"/>
          <w:numId w:val="1009"/>
        </w:numPr>
        <w:pStyle w:val="Compact"/>
      </w:pPr>
      <w:r>
        <w:rPr>
          <w:bCs/>
          <w:b/>
        </w:rPr>
        <w:t xml:space="preserve">Product Lifespan:</w:t>
      </w:r>
      <w:r>
        <w:t xml:space="preserve"> </w:t>
      </w:r>
      <w:r>
        <w:t xml:space="preserve">ddtemhglzi (5 years)</w:t>
      </w:r>
    </w:p>
    <w:p>
      <w:pPr>
        <w:numPr>
          <w:ilvl w:val="0"/>
          <w:numId w:val="1009"/>
        </w:numPr>
        <w:pStyle w:val="Compact"/>
      </w:pPr>
      <w:r>
        <w:rPr>
          <w:bCs/>
          <w:b/>
        </w:rPr>
        <w:t xml:space="preserve">Energy Consumption in Use:</w:t>
      </w:r>
      <w:r>
        <w:t xml:space="preserve"> </w:t>
      </w:r>
      <w:r>
        <w:t xml:space="preserve">sgzsgqfktf (20 kWh/year)</w:t>
      </w:r>
    </w:p>
    <w:bookmarkEnd w:id="32"/>
    <w:bookmarkStart w:id="33" w:name="end-of-life-eol-data"/>
    <w:p>
      <w:pPr>
        <w:pStyle w:val="Heading3"/>
      </w:pPr>
      <w:r>
        <w:t xml:space="preserve">2.6. End-of-Life (EoL) Data</w:t>
      </w:r>
    </w:p>
    <w:p>
      <w:pPr>
        <w:numPr>
          <w:ilvl w:val="0"/>
          <w:numId w:val="1010"/>
        </w:numPr>
        <w:pStyle w:val="Compact"/>
      </w:pPr>
      <w:r>
        <w:rPr>
          <w:bCs/>
          <w:b/>
        </w:rPr>
        <w:t xml:space="preserve">Recyclability Percentage:</w:t>
      </w:r>
      <w:r>
        <w:t xml:space="preserve"> </w:t>
      </w:r>
      <w:r>
        <w:t xml:space="preserve">rjsfigxkwn (70%)</w:t>
      </w:r>
    </w:p>
    <w:p>
      <w:pPr>
        <w:numPr>
          <w:ilvl w:val="0"/>
          <w:numId w:val="1010"/>
        </w:numPr>
        <w:pStyle w:val="Compact"/>
      </w:pPr>
      <w:r>
        <w:rPr>
          <w:bCs/>
          <w:b/>
        </w:rPr>
        <w:t xml:space="preserve">Circular/Take-back Programs:</w:t>
      </w:r>
      <w:r>
        <w:t xml:space="preserve"> </w:t>
      </w:r>
      <w:r>
        <w:t xml:space="preserve">vmpzwrdemq (Advanced take-back program)</w:t>
      </w:r>
    </w:p>
    <w:p>
      <w:r>
        <w:pict>
          <v:rect style="width:0;height:1.5pt" o:hralign="center" o:hrstd="t" o:hr="t"/>
        </w:pict>
      </w:r>
    </w:p>
    <w:bookmarkEnd w:id="33"/>
    <w:bookmarkEnd w:id="34"/>
    <w:bookmarkStart w:id="35" w:name="emission-factors-used"/>
    <w:p>
      <w:pPr>
        <w:pStyle w:val="Heading2"/>
      </w:pPr>
      <w:r>
        <w:t xml:space="preserve">3. Emission Factors Used</w:t>
      </w:r>
    </w:p>
    <w:p>
      <w:pPr>
        <w:pStyle w:val="FirstParagraph"/>
      </w:pPr>
      <w:r>
        <w:t xml:space="preserve">Emissions are calculated by multiplying activity data by relevant emission factors. Industry-standard emission factors are used where primary data is unavailable or to provide a robust estimate, often sourced from recognized databases or research.</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t xml:space="preserve">Electricity (China Grid)</w:t>
            </w:r>
          </w:p>
        </w:tc>
        <w:tc>
          <w:tcPr/>
          <w:p>
            <w:pPr>
              <w:pStyle w:val="Compact"/>
              <w:jc w:val="left"/>
            </w:pPr>
            <w:r>
              <w:t xml:space="preserve">Average for industrial electricity consumption in China</w:t>
            </w:r>
          </w:p>
        </w:tc>
        <w:tc>
          <w:tcPr/>
          <w:p>
            <w:pPr>
              <w:pStyle w:val="Compact"/>
              <w:jc w:val="left"/>
            </w:pPr>
            <w:r>
              <w:t xml:space="preserve">0.6205</w:t>
            </w:r>
          </w:p>
        </w:tc>
        <w:tc>
          <w:tcPr/>
          <w:p>
            <w:pPr>
              <w:pStyle w:val="Compact"/>
              <w:jc w:val="left"/>
            </w:pPr>
            <w:r>
              <w:t xml:space="preserve">kgCO2e/kWh</w:t>
            </w:r>
          </w:p>
        </w:tc>
        <w:tc>
          <w:tcPr/>
          <w:p>
            <w:pPr>
              <w:pStyle w:val="Compact"/>
              <w:jc w:val="left"/>
            </w:pPr>
            <w:r>
              <w:t xml:space="preserve">Ministry of Ecology and Environment, China (2023 data)</w:t>
            </w:r>
          </w:p>
        </w:tc>
      </w:tr>
      <w:tr>
        <w:tc>
          <w:tcPr/>
          <w:p>
            <w:pPr>
              <w:pStyle w:val="Compact"/>
              <w:jc w:val="left"/>
            </w:pPr>
            <w:r>
              <w:t xml:space="preserve">Electricity (Europe Grid)</w:t>
            </w:r>
          </w:p>
        </w:tc>
        <w:tc>
          <w:tcPr/>
          <w:p>
            <w:pPr>
              <w:pStyle w:val="Compact"/>
              <w:jc w:val="left"/>
            </w:pPr>
            <w:r>
              <w:t xml:space="preserve">Estimated average for European electricity mix (for use phase)</w:t>
            </w:r>
          </w:p>
        </w:tc>
        <w:tc>
          <w:tcPr/>
          <w:p>
            <w:pPr>
              <w:pStyle w:val="Compact"/>
              <w:jc w:val="left"/>
            </w:pPr>
            <w:r>
              <w:t xml:space="preserve">0.28</w:t>
            </w:r>
          </w:p>
        </w:tc>
        <w:tc>
          <w:tcPr/>
          <w:p>
            <w:pPr>
              <w:pStyle w:val="Compact"/>
              <w:jc w:val="left"/>
            </w:pPr>
            <w:r>
              <w:t xml:space="preserve">kgCO2e/kWh</w:t>
            </w:r>
          </w:p>
        </w:tc>
        <w:tc>
          <w:tcPr/>
          <w:p>
            <w:pPr>
              <w:pStyle w:val="Compact"/>
              <w:jc w:val="left"/>
            </w:pPr>
            <w:r>
              <w:t xml:space="preserve">Estimated EU average (2020-2021 data ranges from 0.27 to 0.296 kgCO2e/kWh)</w:t>
            </w:r>
          </w:p>
        </w:tc>
      </w:tr>
      <w:tr>
        <w:tc>
          <w:tcPr/>
          <w:p>
            <w:pPr>
              <w:pStyle w:val="Compact"/>
              <w:jc w:val="left"/>
            </w:pPr>
            <w:r>
              <w:t xml:space="preserve">Road Freight</w:t>
            </w:r>
          </w:p>
        </w:tc>
        <w:tc>
          <w:tcPr/>
          <w:p>
            <w:pPr>
              <w:pStyle w:val="Compact"/>
              <w:jc w:val="left"/>
            </w:pPr>
            <w:r>
              <w:t xml:space="preserve">Average for diesel trucks in Europe (ton-kilometer basis)</w:t>
            </w:r>
          </w:p>
        </w:tc>
        <w:tc>
          <w:tcPr/>
          <w:p>
            <w:pPr>
              <w:pStyle w:val="Compact"/>
              <w:jc w:val="left"/>
            </w:pPr>
            <w:r>
              <w:t xml:space="preserve">0.062</w:t>
            </w:r>
          </w:p>
        </w:tc>
        <w:tc>
          <w:tcPr/>
          <w:p>
            <w:pPr>
              <w:pStyle w:val="Compact"/>
              <w:jc w:val="left"/>
            </w:pPr>
            <w:r>
              <w:t xml:space="preserve">kgCO2e/tkm</w:t>
            </w:r>
          </w:p>
        </w:tc>
        <w:tc>
          <w:tcPr/>
          <w:p>
            <w:pPr>
              <w:pStyle w:val="Compact"/>
              <w:jc w:val="left"/>
            </w:pPr>
            <w:r>
              <w:t xml:space="preserve">Trax Technologies (2025)</w:t>
            </w:r>
          </w:p>
        </w:tc>
      </w:tr>
      <w:tr>
        <w:tc>
          <w:tcPr/>
          <w:p>
            <w:pPr>
              <w:pStyle w:val="Compact"/>
              <w:jc w:val="left"/>
            </w:pPr>
            <w:r>
              <w:t xml:space="preserve">Last-Mile Delivery Van</w:t>
            </w:r>
          </w:p>
        </w:tc>
        <w:tc>
          <w:tcPr/>
          <w:p>
            <w:pPr>
              <w:pStyle w:val="Compact"/>
              <w:jc w:val="left"/>
            </w:pPr>
            <w:r>
              <w:t xml:space="preserve">Average van (up to 3.5 tonnes)</w:t>
            </w:r>
          </w:p>
        </w:tc>
        <w:tc>
          <w:tcPr/>
          <w:p>
            <w:pPr>
              <w:pStyle w:val="Compact"/>
              <w:jc w:val="left"/>
            </w:pPr>
            <w:r>
              <w:t xml:space="preserve">0.24934</w:t>
            </w:r>
          </w:p>
        </w:tc>
        <w:tc>
          <w:tcPr/>
          <w:p>
            <w:pPr>
              <w:pStyle w:val="Compact"/>
              <w:jc w:val="left"/>
            </w:pPr>
            <w:r>
              <w:t xml:space="preserve">kgCO2e/km</w:t>
            </w:r>
          </w:p>
        </w:tc>
        <w:tc>
          <w:tcPr/>
          <w:p>
            <w:pPr>
              <w:pStyle w:val="Compact"/>
              <w:jc w:val="left"/>
            </w:pPr>
            <w:r>
              <w:t xml:space="preserve">UK BEIS/Defra Conversion Factors (2024)</w:t>
            </w:r>
          </w:p>
        </w:tc>
      </w:tr>
      <w:tr>
        <w:tc>
          <w:tcPr/>
          <w:p>
            <w:pPr>
              <w:pStyle w:val="Compact"/>
              <w:jc w:val="left"/>
            </w:pPr>
            <w:r>
              <w:t xml:space="preserve">End-of-Life (Landfill)</w:t>
            </w:r>
          </w:p>
        </w:tc>
        <w:tc>
          <w:tcPr/>
          <w:p>
            <w:pPr>
              <w:pStyle w:val="Compact"/>
              <w:jc w:val="left"/>
            </w:pPr>
            <w:r>
              <w:t xml:space="preserve">General mixed waste to landfill (simplified baseline for disposed portion)</w:t>
            </w:r>
          </w:p>
        </w:tc>
        <w:tc>
          <w:tcPr/>
          <w:p>
            <w:pPr>
              <w:pStyle w:val="Compact"/>
              <w:jc w:val="left"/>
            </w:pPr>
            <w:r>
              <w:t xml:space="preserve">0.5</w:t>
            </w:r>
          </w:p>
        </w:tc>
        <w:tc>
          <w:tcPr/>
          <w:p>
            <w:pPr>
              <w:pStyle w:val="Compact"/>
              <w:jc w:val="left"/>
            </w:pPr>
            <w:r>
              <w:t xml:space="preserve">kgCO2e/kg</w:t>
            </w:r>
          </w:p>
        </w:tc>
        <w:tc>
          <w:tcPr/>
          <w:p>
            <w:pPr>
              <w:pStyle w:val="Compact"/>
              <w:jc w:val="left"/>
            </w:pPr>
            <w:r>
              <w:t xml:space="preserve">Estimated average for mixed waste landfill, acknowledging variability</w:t>
            </w:r>
          </w:p>
        </w:tc>
      </w:tr>
    </w:tbl>
    <w:p>
      <w:r>
        <w:pict>
          <v:rect style="width:0;height:1.5pt" o:hralign="center" o:hrstd="t" o:hr="t"/>
        </w:pict>
      </w:r>
    </w:p>
    <w:bookmarkEnd w:id="35"/>
    <w:bookmarkStart w:id="41" w:name="X41e29fe20f48223bdb9d6dc3b0411cd59e62b65"/>
    <w:p>
      <w:pPr>
        <w:pStyle w:val="Heading2"/>
      </w:pPr>
      <w:r>
        <w:t xml:space="preserve">4. Emissions Calculation and Hotspot Analysis</w:t>
      </w:r>
    </w:p>
    <w:p>
      <w:pPr>
        <w:pStyle w:val="FirstParagraph"/>
      </w:pPr>
      <w:r>
        <w:t xml:space="preserve">Emissions are calculated for each lifecycle stage (Activity * Emission Factor = CO2e) and then aggregated to determine the total Product Carbon Footprint. This section details the calculations and identifies emission hotspots.</w:t>
      </w:r>
    </w:p>
    <w:bookmarkStart w:id="36" w:name="X1b0368d9fa279ce5f642e6e7a88ce573ab93153"/>
    <w:p>
      <w:pPr>
        <w:pStyle w:val="Heading3"/>
      </w:pPr>
      <w:r>
        <w:t xml:space="preserve">4.1. Raw Material Acquisition &amp; Processing (Scope 3 - Upstream)</w:t>
      </w:r>
    </w:p>
    <w:p>
      <w:pPr>
        <w:pStyle w:val="FirstParagraph"/>
      </w:pPr>
      <w:r>
        <w:t xml:space="preserve">Emissions from the extraction and processing of raw materials are directly taken from the "Total Carbon" column provided in the Detailed Bill of Materials (BOM).</w:t>
      </w:r>
    </w:p>
    <w:p>
      <w:pPr>
        <w:numPr>
          <w:ilvl w:val="0"/>
          <w:numId w:val="1011"/>
        </w:numPr>
        <w:pStyle w:val="Compact"/>
      </w:pPr>
      <w:r>
        <w:rPr>
          <w:bCs/>
          <w:b/>
        </w:rPr>
        <w:t xml:space="preserve">Total Emissions from Raw Materials:</w:t>
      </w:r>
      <w:r>
        <w:t xml:space="preserve"> </w:t>
      </w:r>
      <w:r>
        <w:t xml:space="preserve">8.15 kgCO2e</w:t>
      </w:r>
    </w:p>
    <w:bookmarkEnd w:id="36"/>
    <w:bookmarkStart w:id="37" w:name="manufacturing-scope-2-scope-3---upstream"/>
    <w:p>
      <w:pPr>
        <w:pStyle w:val="Heading3"/>
      </w:pPr>
      <w:r>
        <w:t xml:space="preserve">4.2. Manufacturing (Scope 2 &amp; Scope 3 - Upstream)</w:t>
      </w:r>
    </w:p>
    <w:p>
      <w:pPr>
        <w:pStyle w:val="FirstParagraph"/>
      </w:pPr>
      <w:r>
        <w:t xml:space="preserve">This phase accounts for the energy consumed during the product\'s manufacturing in China. Direct emissions (Scope 1) from on-site fuel combustion are considered negligible or embedded in material EFs, with the primary impact coming from purchased electricity (Scope 2).</w:t>
      </w:r>
    </w:p>
    <w:p>
      <w:pPr>
        <w:numPr>
          <w:ilvl w:val="0"/>
          <w:numId w:val="1012"/>
        </w:numPr>
        <w:pStyle w:val="Compact"/>
      </w:pPr>
      <w:r>
        <w:t xml:space="preserve">Total Energy Consumption: 15 kWh/unit</w:t>
      </w:r>
    </w:p>
    <w:p>
      <w:pPr>
        <w:numPr>
          <w:ilvl w:val="0"/>
          <w:numId w:val="1012"/>
        </w:numPr>
        <w:pStyle w:val="Compact"/>
      </w:pPr>
      <w:r>
        <w:t xml:space="preserve">Renewable Energy Portion: 15 kWh/unit * 60% = 9 kWh/unit</w:t>
      </w:r>
    </w:p>
    <w:p>
      <w:pPr>
        <w:numPr>
          <w:ilvl w:val="0"/>
          <w:numId w:val="1012"/>
        </w:numPr>
        <w:pStyle w:val="Compact"/>
      </w:pPr>
      <w:r>
        <w:t xml:space="preserve">Grid Energy Portion (Non-renewable): 15 kWh/unit * (1 - 60%) = 6 kWh/unit</w:t>
      </w:r>
    </w:p>
    <w:p>
      <w:pPr>
        <w:numPr>
          <w:ilvl w:val="0"/>
          <w:numId w:val="1012"/>
        </w:numPr>
        <w:pStyle w:val="Compact"/>
      </w:pPr>
      <w:r>
        <w:t xml:space="preserve">Emissions from Grid Electricity: 6 kWh/unit * 0.6205 kgCO2e/kWh (China EF) = 3.723 kgCO2e/unit</w:t>
      </w:r>
    </w:p>
    <w:p>
      <w:pPr>
        <w:numPr>
          <w:ilvl w:val="0"/>
          <w:numId w:val="1012"/>
        </w:numPr>
        <w:pStyle w:val="Compact"/>
      </w:pPr>
      <w:r>
        <w:t xml:space="preserve">Emissions from Renewable Energy: 0 kgCO2e (assuming zero emissions at point of consumption for purchased renewable energy)</w:t>
      </w:r>
    </w:p>
    <w:p>
      <w:pPr>
        <w:numPr>
          <w:ilvl w:val="0"/>
          <w:numId w:val="1012"/>
        </w:numPr>
        <w:pStyle w:val="Compact"/>
      </w:pPr>
      <w:r>
        <w:rPr>
          <w:bCs/>
          <w:b/>
        </w:rPr>
        <w:t xml:space="preserve">Total Emissions from Manufacturing:</w:t>
      </w:r>
      <w:r>
        <w:t xml:space="preserve"> </w:t>
      </w:r>
      <w:r>
        <w:t xml:space="preserve">3.723 kgCO2e</w:t>
      </w:r>
    </w:p>
    <w:bookmarkEnd w:id="37"/>
    <w:bookmarkStart w:id="38" w:name="transport-scope-3---upstream-downstream"/>
    <w:p>
      <w:pPr>
        <w:pStyle w:val="Heading3"/>
      </w:pPr>
      <w:r>
        <w:t xml:space="preserve">4.3. Transport (Scope 3 - Upstream &amp; Downstream)</w:t>
      </w:r>
    </w:p>
    <w:p>
      <w:pPr>
        <w:pStyle w:val="FirstParagraph"/>
      </w:pPr>
      <w:r>
        <w:t xml:space="preserve">Transportation emissions include the main journey from the factory to the European distribution hub and last-mile delivery to the customer.</w:t>
      </w:r>
    </w:p>
    <w:p>
      <w:pPr>
        <w:numPr>
          <w:ilvl w:val="0"/>
          <w:numId w:val="1013"/>
        </w:numPr>
        <w:pStyle w:val="Compact"/>
      </w:pPr>
      <w:r>
        <w:rPr>
          <w:bCs/>
          <w:b/>
        </w:rPr>
        <w:t xml:space="preserve">Product Mass for Transport:</w:t>
      </w:r>
      <w:r>
        <w:t xml:space="preserve"> </w:t>
      </w:r>
      <w:r>
        <w:t xml:space="preserve">2.65 kg = 0.00265 tonnes</w:t>
      </w:r>
    </w:p>
    <w:p>
      <w:pPr>
        <w:numPr>
          <w:ilvl w:val="0"/>
          <w:numId w:val="1013"/>
        </w:numPr>
        <w:pStyle w:val="Compact"/>
      </w:pPr>
      <w:r>
        <w:rPr>
          <w:bCs/>
          <w:b/>
        </w:rPr>
        <w:t xml:space="preserve">Main Transport (Factory to European Hub - Road Freight):</w:t>
      </w:r>
    </w:p>
    <w:p>
      <w:pPr>
        <w:numPr>
          <w:ilvl w:val="1"/>
          <w:numId w:val="1014"/>
        </w:numPr>
        <w:pStyle w:val="Compact"/>
      </w:pPr>
      <w:r>
        <w:t xml:space="preserve">Distance: 2000 km</w:t>
      </w:r>
    </w:p>
    <w:p>
      <w:pPr>
        <w:numPr>
          <w:ilvl w:val="1"/>
          <w:numId w:val="1014"/>
        </w:numPr>
        <w:pStyle w:val="Compact"/>
      </w:pPr>
      <w:r>
        <w:t xml:space="preserve">Emissions: 2000 km * 0.00265 tonnes * 0.062 kgCO2e/tkm = 0.3286 kgCO2e/unit</w:t>
      </w:r>
    </w:p>
    <w:p>
      <w:pPr>
        <w:numPr>
          <w:ilvl w:val="0"/>
          <w:numId w:val="1013"/>
        </w:numPr>
        <w:pStyle w:val="Compact"/>
      </w:pPr>
      <w:r>
        <w:rPr>
          <w:bCs/>
          <w:b/>
        </w:rPr>
        <w:t xml:space="preserve">Last-Mile Delivery (European Hub to Customer - Van):</w:t>
      </w:r>
    </w:p>
    <w:p>
      <w:pPr>
        <w:numPr>
          <w:ilvl w:val="1"/>
          <w:numId w:val="1015"/>
        </w:numPr>
        <w:pStyle w:val="Compact"/>
      </w:pPr>
      <w:r>
        <w:t xml:space="preserve">Distance: 50 km (Assumed)</w:t>
      </w:r>
    </w:p>
    <w:p>
      <w:pPr>
        <w:numPr>
          <w:ilvl w:val="1"/>
          <w:numId w:val="1015"/>
        </w:numPr>
        <w:pStyle w:val="Compact"/>
      </w:pPr>
      <w:r>
        <w:t xml:space="preserve">Emissions: 50 km * 0.24934 kgCO2e/km = 12.467 kgCO2e/unit</w:t>
      </w:r>
    </w:p>
    <w:p>
      <w:pPr>
        <w:numPr>
          <w:ilvl w:val="0"/>
          <w:numId w:val="1013"/>
        </w:numPr>
        <w:pStyle w:val="Compact"/>
      </w:pPr>
      <w:r>
        <w:rPr>
          <w:bCs/>
          <w:b/>
        </w:rPr>
        <w:t xml:space="preserve">Total Emissions from Transport:</w:t>
      </w:r>
      <w:r>
        <w:t xml:space="preserve"> </w:t>
      </w:r>
      <w:r>
        <w:t xml:space="preserve">0.3286 + 12.467 = 12.7956 kgCO2e</w:t>
      </w:r>
    </w:p>
    <w:bookmarkEnd w:id="38"/>
    <w:bookmarkStart w:id="39" w:name="use-phase-scope-3---downstream"/>
    <w:p>
      <w:pPr>
        <w:pStyle w:val="Heading3"/>
      </w:pPr>
      <w:r>
        <w:t xml:space="preserve">4.4. Use Phase (Scope 3 - Downstream)</w:t>
      </w:r>
    </w:p>
    <w:p>
      <w:pPr>
        <w:pStyle w:val="FirstParagraph"/>
      </w:pPr>
      <w:r>
        <w:t xml:space="preserve">The use phase accounts for the energy consumed by the product over its estimated lifespan, assuming typical European grid electricity for usage.</w:t>
      </w:r>
    </w:p>
    <w:p>
      <w:pPr>
        <w:numPr>
          <w:ilvl w:val="0"/>
          <w:numId w:val="1016"/>
        </w:numPr>
        <w:pStyle w:val="Compact"/>
      </w:pPr>
      <w:r>
        <w:t xml:space="preserve">Product Lifespan: 5 years</w:t>
      </w:r>
    </w:p>
    <w:p>
      <w:pPr>
        <w:numPr>
          <w:ilvl w:val="0"/>
          <w:numId w:val="1016"/>
        </w:numPr>
        <w:pStyle w:val="Compact"/>
      </w:pPr>
      <w:r>
        <w:t xml:space="preserve">Annual Energy Consumption: 20 kWh/year</w:t>
      </w:r>
    </w:p>
    <w:p>
      <w:pPr>
        <w:numPr>
          <w:ilvl w:val="0"/>
          <w:numId w:val="1016"/>
        </w:numPr>
        <w:pStyle w:val="Compact"/>
      </w:pPr>
      <w:r>
        <w:t xml:space="preserve">Total Energy Consumption over Lifespan: 20 kWh/year * 5 years = 100 kWh/unit</w:t>
      </w:r>
    </w:p>
    <w:p>
      <w:pPr>
        <w:numPr>
          <w:ilvl w:val="0"/>
          <w:numId w:val="1016"/>
        </w:numPr>
        <w:pStyle w:val="Compact"/>
      </w:pPr>
      <w:r>
        <w:t xml:space="preserve">Emissions: 100 kWh/unit * 0.28 kgCO2e/kWh (Europe EF) = 28.0 kgCO2e/unit</w:t>
      </w:r>
    </w:p>
    <w:p>
      <w:pPr>
        <w:numPr>
          <w:ilvl w:val="0"/>
          <w:numId w:val="1016"/>
        </w:numPr>
        <w:pStyle w:val="Compact"/>
      </w:pPr>
      <w:r>
        <w:rPr>
          <w:bCs/>
          <w:b/>
        </w:rPr>
        <w:t xml:space="preserve">Total Emissions from Use Phase:</w:t>
      </w:r>
      <w:r>
        <w:t xml:space="preserve"> </w:t>
      </w:r>
      <w:r>
        <w:t xml:space="preserve">28.0 kgCO2e</w:t>
      </w:r>
    </w:p>
    <w:bookmarkEnd w:id="39"/>
    <w:bookmarkStart w:id="40" w:name="end-of-life-eol-scope-3---downstream"/>
    <w:p>
      <w:pPr>
        <w:pStyle w:val="Heading3"/>
      </w:pPr>
      <w:r>
        <w:t xml:space="preserve">4.5. End-of-Life (EoL) (Scope 3 - Downstream)</w:t>
      </w:r>
    </w:p>
    <w:p>
      <w:pPr>
        <w:pStyle w:val="FirstParagraph"/>
      </w:pPr>
      <w:r>
        <w:t xml:space="preserve">End-of-life emissions consider disposal to landfill and provide a reduction for recyclability, enhanced by circular/take-back programs.</w:t>
      </w:r>
    </w:p>
    <w:p>
      <w:pPr>
        <w:numPr>
          <w:ilvl w:val="0"/>
          <w:numId w:val="1017"/>
        </w:numPr>
        <w:pStyle w:val="Compact"/>
      </w:pPr>
      <w:r>
        <w:t xml:space="preserve">Total Product Mass: 2.65 kg</w:t>
      </w:r>
    </w:p>
    <w:p>
      <w:pPr>
        <w:numPr>
          <w:ilvl w:val="0"/>
          <w:numId w:val="1017"/>
        </w:numPr>
        <w:pStyle w:val="Compact"/>
      </w:pPr>
      <w:r>
        <w:t xml:space="preserve">Recyclability Percentage: 70%</w:t>
      </w:r>
    </w:p>
    <w:p>
      <w:pPr>
        <w:numPr>
          <w:ilvl w:val="0"/>
          <w:numId w:val="1017"/>
        </w:numPr>
        <w:pStyle w:val="Compact"/>
      </w:pPr>
      <w:r>
        <w:t xml:space="preserve">Circular/Take-back Programs: Advanced take-back program (This program facilitates the high recyclability percentage and ensures proper end-of-life management.)</w:t>
      </w:r>
    </w:p>
    <w:p>
      <w:pPr>
        <w:numPr>
          <w:ilvl w:val="0"/>
          <w:numId w:val="1017"/>
        </w:numPr>
        <w:pStyle w:val="Compact"/>
      </w:pPr>
      <w:r>
        <w:t xml:space="preserve">Portion Recycled: 2.65 kg * 70% = 1.855 kg (Emissions associated with recycling processes are typically lower than landfilling and can offer avoided emissions credits; for this analysis, we focus on reducing landfill burden).</w:t>
      </w:r>
    </w:p>
    <w:p>
      <w:pPr>
        <w:numPr>
          <w:ilvl w:val="0"/>
          <w:numId w:val="1017"/>
        </w:numPr>
        <w:pStyle w:val="Compact"/>
      </w:pPr>
      <w:r>
        <w:t xml:space="preserve">Portion Disposed to Landfill: 2.65 kg * (1 - 70%) = 0.795 kg</w:t>
      </w:r>
    </w:p>
    <w:p>
      <w:pPr>
        <w:numPr>
          <w:ilvl w:val="0"/>
          <w:numId w:val="1017"/>
        </w:numPr>
        <w:pStyle w:val="Compact"/>
      </w:pPr>
      <w:r>
        <w:t xml:space="preserve">Emissions from Disposed Portion: 0.795 kg * 0.5 kgCO2e/kg (Assumed landfill EF) = 0.3975 kgCO2e/unit</w:t>
      </w:r>
    </w:p>
    <w:p>
      <w:pPr>
        <w:numPr>
          <w:ilvl w:val="0"/>
          <w:numId w:val="1017"/>
        </w:numPr>
        <w:pStyle w:val="Compact"/>
      </w:pPr>
      <w:r>
        <w:rPr>
          <w:bCs/>
          <w:b/>
        </w:rPr>
        <w:t xml:space="preserve">Total Emissions from End-of-Life:</w:t>
      </w:r>
      <w:r>
        <w:t xml:space="preserve"> </w:t>
      </w:r>
      <w:r>
        <w:t xml:space="preserve">0.3975 kgCO2e</w:t>
      </w:r>
    </w:p>
    <w:p>
      <w:r>
        <w:pict>
          <v:rect style="width:0;height:1.5pt" o:hralign="center" o:hrstd="t" o:hr="t"/>
        </w:pict>
      </w:r>
    </w:p>
    <w:bookmarkEnd w:id="40"/>
    <w:bookmarkEnd w:id="41"/>
    <w:bookmarkStart w:id="42" w:name="total-product-carbon-footprint-pcf"/>
    <w:p>
      <w:pPr>
        <w:pStyle w:val="Heading2"/>
      </w:pPr>
      <w:r>
        <w:t xml:space="preserve">5. Total Product Carbon Footprint (PCF)</w:t>
      </w:r>
    </w:p>
    <w:p>
      <w:pPr>
        <w:pStyle w:val="FirstParagraph"/>
      </w:pPr>
      <w:r>
        <w:t xml:space="preserve">The aggregated emissions from all lifecycle stages constitute the total Product Carbon Footprint for one functional unit of urkdxmuktg.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8.15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3.723</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12.7956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28.0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0.3975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53.06</w:t>
            </w:r>
          </w:p>
        </w:tc>
      </w:tr>
    </w:tbl>
    <w:p>
      <w:pPr>
        <w:pStyle w:val="BodyText"/>
      </w:pPr>
      <w:r>
        <w:t xml:space="preserve">The total estimated Product Carbon Footprint for one functional unit of urkdxmuktg is</w:t>
      </w:r>
      <w:r>
        <w:t xml:space="preserve"> </w:t>
      </w:r>
      <w:r>
        <w:rPr>
          <w:bCs/>
          <w:b/>
        </w:rPr>
        <w:t xml:space="preserve">53.06 kgCO2e</w:t>
      </w:r>
      <w:r>
        <w:t xml:space="preserve">.</w:t>
      </w:r>
    </w:p>
    <w:p>
      <w:r>
        <w:pict>
          <v:rect style="width:0;height:1.5pt" o:hralign="center" o:hrstd="t" o:hr="t"/>
        </w:pict>
      </w:r>
    </w:p>
    <w:bookmarkEnd w:id="42"/>
    <w:bookmarkStart w:id="47" w:name="review-report---hotspots-and-reliability"/>
    <w:p>
      <w:pPr>
        <w:pStyle w:val="Heading2"/>
      </w:pPr>
      <w:r>
        <w:t xml:space="preserve">6. Review &amp; Report - Hotspots and Reliability</w:t>
      </w:r>
    </w:p>
    <w:bookmarkStart w:id="43" w:name="emission-hotspots"/>
    <w:p>
      <w:pPr>
        <w:pStyle w:val="Heading3"/>
      </w:pPr>
      <w:r>
        <w:t xml:space="preserve">6.1. Emission Hotspots</w:t>
      </w:r>
    </w:p>
    <w:p>
      <w:pPr>
        <w:pStyle w:val="FirstParagraph"/>
      </w:pPr>
      <w:r>
        <w:t xml:space="preserve">The analysis identifies the following primary emission hotspots for urkdxmuktg:</w:t>
      </w:r>
    </w:p>
    <w:p>
      <w:pPr>
        <w:numPr>
          <w:ilvl w:val="0"/>
          <w:numId w:val="1018"/>
        </w:numPr>
        <w:pStyle w:val="Compact"/>
      </w:pPr>
      <w:r>
        <w:rPr>
          <w:bCs/>
          <w:b/>
        </w:rPr>
        <w:t xml:space="preserve">Use Phase (28.0 kgCO2e):</w:t>
      </w:r>
      <w:r>
        <w:t xml:space="preserve"> </w:t>
      </w:r>
      <w:r>
        <w:t xml:space="preserve">This stage represents the largest portion of the PCF, primarily due to the energy consumption over the product\'s 5-year lifespan. This highlights the critical importance of energy efficiency during product design and user behavior during operation.</w:t>
      </w:r>
    </w:p>
    <w:p>
      <w:pPr>
        <w:numPr>
          <w:ilvl w:val="0"/>
          <w:numId w:val="1018"/>
        </w:numPr>
        <w:pStyle w:val="Compact"/>
      </w:pPr>
      <w:r>
        <w:rPr>
          <w:bCs/>
          <w:b/>
        </w:rPr>
        <w:t xml:space="preserve">Transport (12.7956 kgCO2e):</w:t>
      </w:r>
      <w:r>
        <w:t xml:space="preserve"> </w:t>
      </w:r>
      <w:r>
        <w:t xml:space="preserve">Downstream last-mile delivery significantly contributes to transport emissions, indicating opportunities for optimizing logistics, fleet electrification, or localized distribution.</w:t>
      </w:r>
    </w:p>
    <w:p>
      <w:pPr>
        <w:numPr>
          <w:ilvl w:val="0"/>
          <w:numId w:val="1018"/>
        </w:numPr>
        <w:pStyle w:val="Compact"/>
      </w:pPr>
      <w:r>
        <w:rPr>
          <w:bCs/>
          <w:b/>
        </w:rPr>
        <w:t xml:space="preserve">Raw Materials (8.15 kgCO2e):</w:t>
      </w:r>
      <w:r>
        <w:t xml:space="preserve"> </w:t>
      </w:r>
      <w:r>
        <w:t xml:space="preserve">Material selection and sourcing play a substantial role. Continued efforts to source lower-carbon materials, increase recycled content, and engage with suppliers on their decarbonization efforts are crucial.</w:t>
      </w:r>
    </w:p>
    <w:bookmarkEnd w:id="43"/>
    <w:bookmarkStart w:id="44" w:name="reliability-and-data-quality"/>
    <w:p>
      <w:pPr>
        <w:pStyle w:val="Heading3"/>
      </w:pPr>
      <w:r>
        <w:t xml:space="preserve">6.2. Reliability and Data Quality</w:t>
      </w:r>
    </w:p>
    <w:p>
      <w:pPr>
        <w:pStyle w:val="FirstParagraph"/>
      </w:pPr>
      <w:r>
        <w:t xml:space="preserve">The reliability of this PCF is high due to the use of specific primary data for the Bill of Materials and customized energy usage. Secondary industry-standard emission factors from reputable sources (e.g., China\'s Ministry of Ecology and Environment, UK BEIS/Defra) were applied where primary data was unavailable. The inclusion of a detailed BOM (uhyzxhlv) significantly enhances the accuracy of material impact calculations compared to default estimates.</w:t>
      </w:r>
    </w:p>
    <w:p>
      <w:pPr>
        <w:pStyle w:val="BodyText"/>
      </w:pPr>
      <w:r>
        <w:t xml:space="preserve">The "Europe Focused" geographic scope for the supply chain, particularly for the use and end-of-life phases, uses estimated average European emission factors for electricity, which provides a reasonable representation but could be further refined with country-specific data if the product\'s primary markets are narrowed down.</w:t>
      </w:r>
    </w:p>
    <w:bookmarkEnd w:id="44"/>
    <w:bookmarkStart w:id="46" w:name="opportunities-for-reduction"/>
    <w:p>
      <w:pPr>
        <w:pStyle w:val="Heading3"/>
      </w:pPr>
      <w:r>
        <w:t xml:space="preserve">6.3. Opportunities for Reduction</w:t>
      </w:r>
    </w:p>
    <w:p>
      <w:pPr>
        <w:numPr>
          <w:ilvl w:val="0"/>
          <w:numId w:val="1019"/>
        </w:numPr>
        <w:pStyle w:val="Compact"/>
      </w:pPr>
      <w:r>
        <w:rPr>
          <w:bCs/>
          <w:b/>
        </w:rPr>
        <w:t xml:space="preserve">Use Phase Optimization:</w:t>
      </w:r>
      <w:r>
        <w:t xml:space="preserve"> </w:t>
      </w:r>
      <w:r>
        <w:t xml:space="preserve">Focus on improving the energy efficiency of urkdxmuktg to reduce energy consumption during its operational lifespan. Consumer education on efficient usage can also contribute.</w:t>
      </w:r>
    </w:p>
    <w:p>
      <w:pPr>
        <w:numPr>
          <w:ilvl w:val="0"/>
          <w:numId w:val="1019"/>
        </w:numPr>
        <w:pStyle w:val="Compact"/>
      </w:pPr>
      <w:r>
        <w:rPr>
          <w:bCs/>
          <w:b/>
        </w:rPr>
        <w:t xml:space="preserve">Logistics Decarbonization:</w:t>
      </w:r>
      <w:r>
        <w:t xml:space="preserve"> </w:t>
      </w:r>
      <w:r>
        <w:t xml:space="preserve">Explore cleaner transport modes (e.g., rail, sea freight for longer distances), optimize routes, and invest in electric or alternative fuel vehicles for last-mile delivery.</w:t>
      </w:r>
    </w:p>
    <w:p>
      <w:pPr>
        <w:numPr>
          <w:ilvl w:val="0"/>
          <w:numId w:val="1019"/>
        </w:numPr>
        <w:pStyle w:val="Compact"/>
      </w:pPr>
      <w:r>
        <w:rPr>
          <w:bCs/>
          <w:b/>
        </w:rPr>
        <w:t xml:space="preserve">Material Innovation:</w:t>
      </w:r>
      <w:r>
        <w:t xml:space="preserve"> </w:t>
      </w:r>
      <w:r>
        <w:t xml:space="preserve">Continue to investigate and integrate lower-carbon materials, prioritize suppliers with robust decarbonization strategies, and increase the use of recycled and sustainably sourced inputs.</w:t>
      </w:r>
    </w:p>
    <w:p>
      <w:pPr>
        <w:numPr>
          <w:ilvl w:val="0"/>
          <w:numId w:val="1019"/>
        </w:numPr>
        <w:pStyle w:val="Compact"/>
      </w:pPr>
      <w:r>
        <w:rPr>
          <w:bCs/>
          <w:b/>
        </w:rPr>
        <w:t xml:space="preserve">Circular Economy Initiatives:</w:t>
      </w:r>
      <w:r>
        <w:t xml:space="preserve"> </w:t>
      </w:r>
      <w:r>
        <w:t xml:space="preserve">The existing advanced take-back program (vmpzwrdemq) and high recyclability (rjsfigxkwn) are strong foundations. Further explore closed-loop systems and product-as-a-service models to maximize resource efficiency.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urkdxmuktg</dc:title>
  <dc:creator/>
  <dc:description>High-detail Product Carbon Footprint (PCF) analysis for urkdxmuktg, assessing GHG emissions across its lifecycle, aligned with GHG Protocol standards and 2026 requirements.</dc:description>
  <dc:language>en</dc:language>
  <cp:keywords/>
  <dcterms:created xsi:type="dcterms:W3CDTF">2026-05-30T12:42:43Z</dcterms:created>
  <dcterms:modified xsi:type="dcterms:W3CDTF">2026-05-30T12:42:43Z</dcterms:modified>
</cp:coreProperties>
</file>

<file path=docProps/custom.xml><?xml version="1.0" encoding="utf-8"?>
<Properties xmlns="http://schemas.openxmlformats.org/officeDocument/2006/custom-properties" xmlns:vt="http://schemas.openxmlformats.org/officeDocument/2006/docPropsVTypes"/>
</file>