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uqynpoxpyg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uqynpoxpyg</w:t>
      </w:r>
    </w:p>
    <w:p>
      <w:pPr>
        <w:pStyle w:val="BodyText"/>
      </w:pPr>
      <w:r>
        <w:rPr>
          <w:bCs/>
          <w:b/>
        </w:rPr>
        <w:t xml:space="preserve">Company Name:</w:t>
      </w:r>
      <w:r>
        <w:t xml:space="preserve"> </w:t>
      </w:r>
      <w:r>
        <w:t xml:space="preserve">fzqwoietxt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wnigqvuhqe</w:t>
      </w:r>
    </w:p>
    <w:p>
      <w:pPr>
        <w:pStyle w:val="BodyText"/>
      </w:pPr>
      <w:r>
        <w:t xml:space="preserve">Disclaimer: This report is generated based on available data and industry standards. While efforts have been made to ensure accuracy, actual emissions may vary due to real-world conditions and data limitations.</w:t>
      </w:r>
    </w:p>
    <w:bookmarkEnd w:id="20"/>
    <w:bookmarkStart w:id="21" w:name="X101bee091c7509ef95f112518c57d387a0b2f8b"/>
    <w:p>
      <w:pPr>
        <w:pStyle w:val="Heading1"/>
      </w:pPr>
      <w:r>
        <w:t xml:space="preserve">Product Carbon Footprint Analysis Report for uqynpoxpyg</w:t>
      </w:r>
    </w:p>
    <w:p>
      <w:pPr>
        <w:pStyle w:val="FirstParagraph"/>
      </w:pPr>
      <w:r>
        <w:t xml:space="preserve">Generated Date: June 2, 2026</w:t>
      </w:r>
    </w:p>
    <w:p>
      <w:pPr>
        <w:pStyle w:val="BodyText"/>
      </w:pPr>
      <w:r>
        <w:t xml:space="preserve">Prepared by: wnigqvuhqe, Senior Sustainability Consultant</w:t>
      </w:r>
    </w:p>
    <w:p>
      <w:pPr>
        <w:pStyle w:val="BodyText"/>
      </w:pPr>
      <w:r>
        <w:t xml:space="preserve">Company: fzqwoietxt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\'uqynpoxpyg\', manufactured by fzqwoietxt. The analysis adheres strictly to the GHG Protocol accounting standard, incorporating the latest 2026 Land Sector and Removals (LSR) Standard and targeting at least 95% Scope 3 coverage. The objective is to quantify the greenhouse gas emissions (expressed in CO2e) across the product\'s lifecycle, identify emission hotspots, and provide a foundation for sustainability improvements. This assessment by wnigqvuhqe, Senior Sustainability Consultant, covers raw material acquisition, manufacturing, transport, use, and end-of-life stages, leveraging specific company data for materials, energy, logistics, and product durability.</w:t>
      </w:r>
    </w:p>
    <w:p>
      <w:r>
        <w:pict>
          <v:rect style="width:0;height:1.5pt" o:hralign="center" o:hrstd="t" o:hr="t"/>
        </w:pict>
      </w:r>
    </w:p>
    <w:bookmarkEnd w:id="22"/>
    <w:bookmarkStart w:id="33" w:name="methodology-and-scope-definition"/>
    <w:p>
      <w:pPr>
        <w:pStyle w:val="Heading2"/>
      </w:pPr>
      <w:r>
        <w:t xml:space="preserve">1. Methodology and Scope Definition</w:t>
      </w:r>
    </w:p>
    <w:p>
      <w:pPr>
        <w:pStyle w:val="FirstParagraph"/>
      </w:pPr>
      <w:r>
        <w:t xml:space="preserve">The Product Carbon Footprint (PCF) for uqynpoxpyg has been calculated following the five-step methodology recommended by the GHG Protocol. This approach ensures a comprehensive and standardized assessment of greenhouse gas emissions associated with the product\'s entire lifecycle.</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uqynpoxpyg</w:t>
      </w:r>
      <w:r>
        <w:t xml:space="preserve">. This serves as the reference basis for quantifying all relevant inputs and outputs.</w:t>
      </w:r>
    </w:p>
    <w:p>
      <w:pPr>
        <w:numPr>
          <w:ilvl w:val="0"/>
          <w:numId w:val="1001"/>
        </w:numPr>
        <w:pStyle w:val="Compact"/>
      </w:pPr>
      <w:r>
        <w:rPr>
          <w:bCs/>
          <w:b/>
        </w:rPr>
        <w:t xml:space="preserve">System Boundary:</w:t>
      </w:r>
      <w:r>
        <w:t xml:space="preserve"> </w:t>
      </w:r>
      <w:r>
        <w:t xml:space="preserve">The system boundary for this PCF analysis is set as</w:t>
      </w:r>
      <w:r>
        <w:t xml:space="preserve"> </w:t>
      </w:r>
      <w:r>
        <w:rPr>
          <w:bCs/>
          <w:b/>
        </w:rPr>
        <w:t xml:space="preserve">factory_gate</w:t>
      </w:r>
      <w:r>
        <w:t xml:space="preserve">. This means the analysis includes all processes from raw material extraction (cradle) up to the point the finished product leaves the manufacturing facility\'s gate. It also extends to cover transport, the use phase, and the end-of-life scenarios.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Where co-production or multi-functional processes occur, economic allocation has been applied to distribute environmental burdens proportionally.</w:t>
      </w:r>
    </w:p>
    <w:p>
      <w:pPr>
        <w:numPr>
          <w:ilvl w:val="0"/>
          <w:numId w:val="1001"/>
        </w:numPr>
        <w:pStyle w:val="Compact"/>
      </w:pPr>
      <w:r>
        <w:rPr>
          <w:bCs/>
          <w:b/>
        </w:rPr>
        <w:t xml:space="preserve">Accounting Standard:</w:t>
      </w:r>
      <w:r>
        <w:t xml:space="preserve"> </w:t>
      </w:r>
      <w:r>
        <w:t xml:space="preserve">The entire analysis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bookmarkEnd w:id="23"/>
    <w:bookmarkStart w:id="24" w:name="map-lifecycle-lci-inventory-stages"/>
    <w:p>
      <w:pPr>
        <w:pStyle w:val="Heading3"/>
      </w:pPr>
      <w:r>
        <w:t xml:space="preserve">1.2. Map Lifecycle (LCI Inventory Stages)</w:t>
      </w:r>
    </w:p>
    <w:p>
      <w:pPr>
        <w:pStyle w:val="FirstParagraph"/>
      </w:pPr>
      <w:r>
        <w:t xml:space="preserve">The lifecycle of uqynpoxpyg has been mapped into the following key stages, corresponding to typical Product Life Cycle Inventory (LCI) methodology:</w:t>
      </w:r>
    </w:p>
    <w:p>
      <w:pPr>
        <w:numPr>
          <w:ilvl w:val="0"/>
          <w:numId w:val="1003"/>
        </w:numPr>
        <w:pStyle w:val="Compact"/>
      </w:pPr>
      <w:r>
        <w:rPr>
          <w:bCs/>
          <w:b/>
        </w:rPr>
        <w:t xml:space="preserve">Raw Material Acquisition &amp; Pre-processing:</w:t>
      </w:r>
      <w:r>
        <w:t xml:space="preserve"> </w:t>
      </w:r>
      <w:r>
        <w:t xml:space="preserve">Extraction, cultivation, and initial processing of all materials comprising uqynpoxpyg.</w:t>
      </w:r>
    </w:p>
    <w:p>
      <w:pPr>
        <w:numPr>
          <w:ilvl w:val="0"/>
          <w:numId w:val="1003"/>
        </w:numPr>
        <w:pStyle w:val="Compact"/>
      </w:pPr>
      <w:r>
        <w:rPr>
          <w:bCs/>
          <w:b/>
        </w:rPr>
        <w:t xml:space="preserve">Manufacturing (Production):</w:t>
      </w:r>
      <w:r>
        <w:t xml:space="preserve"> </w:t>
      </w:r>
      <w:r>
        <w:t xml:space="preserve">Transformation of raw materials into the final product at fzqwoietxt\'s facility in China, including energy consumption for processes.</w:t>
      </w:r>
    </w:p>
    <w:p>
      <w:pPr>
        <w:numPr>
          <w:ilvl w:val="0"/>
          <w:numId w:val="1003"/>
        </w:numPr>
        <w:pStyle w:val="Compact"/>
      </w:pPr>
      <w:r>
        <w:rPr>
          <w:bCs/>
          <w:b/>
        </w:rPr>
        <w:t xml:space="preserve">Transport &amp; Distribution:</w:t>
      </w:r>
      <w:r>
        <w:t xml:space="preserve"> </w:t>
      </w:r>
      <w:r>
        <w:t xml:space="preserve">Inbound logistics of raw materials and components (Europe Focused supply chain) to the manufacturing site, and outbound logistics of the finished product to the customer, including last-mile delivery.</w:t>
      </w:r>
    </w:p>
    <w:p>
      <w:pPr>
        <w:numPr>
          <w:ilvl w:val="0"/>
          <w:numId w:val="1003"/>
        </w:numPr>
        <w:pStyle w:val="Compact"/>
      </w:pPr>
      <w:r>
        <w:rPr>
          <w:bCs/>
          <w:b/>
        </w:rPr>
        <w:t xml:space="preserve">Use Phase:</w:t>
      </w:r>
      <w:r>
        <w:t xml:space="preserve"> </w:t>
      </w:r>
      <w:r>
        <w:t xml:space="preserve">Energy consumption and other impacts during the typical lifespan of uqynpoxpyg by the end-user.</w:t>
      </w:r>
    </w:p>
    <w:p>
      <w:pPr>
        <w:numPr>
          <w:ilvl w:val="0"/>
          <w:numId w:val="1003"/>
        </w:numPr>
        <w:pStyle w:val="Compact"/>
      </w:pPr>
      <w:r>
        <w:rPr>
          <w:bCs/>
          <w:b/>
        </w:rPr>
        <w:t xml:space="preserve">End-of-Life (EoL):</w:t>
      </w:r>
      <w:r>
        <w:t xml:space="preserve"> </w:t>
      </w:r>
      <w:r>
        <w:t xml:space="preserve">Disposal, recycling, and recovery processes at the end of the product\'s useful life.</w:t>
      </w:r>
    </w:p>
    <w:bookmarkEnd w:id="24"/>
    <w:bookmarkStart w:id="30" w:name="Xb57f50a89bf1f3f1837369be949d9d60d6c1272"/>
    <w:p>
      <w:pPr>
        <w:pStyle w:val="Heading3"/>
      </w:pPr>
      <w:r>
        <w:t xml:space="preserve">1.3. Collect Data (Primary/Secondary Data Points)</w:t>
      </w:r>
    </w:p>
    <w:p>
      <w:pPr>
        <w:pStyle w:val="FirstParagraph"/>
      </w:pPr>
      <w:r>
        <w:t xml:space="preserve">Both primary and secondary data were collected for this analysis. Primary data was sourced directly from fzqwoietxt, while secondary data utilized reputable databases and industry averages.</w:t>
      </w:r>
    </w:p>
    <w:bookmarkStart w:id="25" w:name="X032ceb93eec89ff372ade3e2b026bedf573b94f"/>
    <w:p>
      <w:pPr>
        <w:pStyle w:val="Heading4"/>
      </w:pPr>
      <w:r>
        <w:t xml:space="preserve">Detailed Bill of Materials (BOM) - Illustrative Data for \'loknwvqy\'</w:t>
      </w:r>
    </w:p>
    <w:p>
      <w:pPr>
        <w:pStyle w:val="FirstParagraph"/>
      </w:pPr>
      <w:r>
        <w:t xml:space="preserve">The provided Detailed Bill of Materials (BOM) was critical for assessing material impacts. The following table provides an illustrative representation of how the \'loknwvqy\' data was structured and utilized for calculation, with example values for demonstration: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002</w:t>
            </w:r>
          </w:p>
        </w:tc>
        <w:tc>
          <w:tcPr/>
          <w:p>
            <w:pPr>
              <w:pStyle w:val="Compact"/>
              <w:jc w:val="left"/>
            </w:pPr>
            <w:r>
              <w:t xml:space="preserve">ABS Plastic Shell</w:t>
            </w:r>
          </w:p>
        </w:tc>
        <w:tc>
          <w:tcPr/>
          <w:p>
            <w:pPr>
              <w:pStyle w:val="Compact"/>
              <w:jc w:val="left"/>
            </w:pPr>
            <w:r>
              <w:t xml:space="preserve">Polymer</w:t>
            </w:r>
          </w:p>
        </w:tc>
        <w:tc>
          <w:tcPr/>
          <w:p>
            <w:pPr>
              <w:pStyle w:val="Compact"/>
              <w:jc w:val="left"/>
            </w:pPr>
            <w:r>
              <w:t xml:space="preserve">Injection Mold</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004</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Cell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w:t>
            </w:r>
          </w:p>
        </w:tc>
      </w:tr>
    </w:tbl>
    <w:p>
      <w:pPr>
        <w:pStyle w:val="BodyText"/>
      </w:pPr>
      <w:r>
        <w:rPr>
          <w:iCs/>
          <w:i/>
        </w:rPr>
        <w:t xml:space="preserve">Note: The values in the table above for BOM details are illustrative, based on the placeholder \'loknwvqy\', to demonstrate the data structure and how it would be used in calculation. The \'Total Carbon\' column, when provided, was directly used for material impact calculation.</w:t>
      </w:r>
    </w:p>
    <w:bookmarkEnd w:id="25"/>
    <w:bookmarkStart w:id="26" w:name="energy-inputs-for-production"/>
    <w:p>
      <w:pPr>
        <w:pStyle w:val="Heading4"/>
      </w:pPr>
      <w:r>
        <w:t xml:space="preserve">Energy Inputs for Production</w:t>
      </w:r>
    </w:p>
    <w:p>
      <w:pPr>
        <w:numPr>
          <w:ilvl w:val="0"/>
          <w:numId w:val="1004"/>
        </w:numPr>
        <w:pStyle w:val="Compact"/>
      </w:pPr>
      <w:r>
        <w:rPr>
          <w:bCs/>
          <w:b/>
        </w:rPr>
        <w:t xml:space="preserve">Energy Intensity (kWh/unit):</w:t>
      </w:r>
      <w:r>
        <w:t xml:space="preserve"> </w:t>
      </w:r>
      <w:r>
        <w:t xml:space="preserve">uljluhrluo kWh/unit (Illustrative value: 20 kWh/unit)</w:t>
      </w:r>
    </w:p>
    <w:p>
      <w:pPr>
        <w:numPr>
          <w:ilvl w:val="0"/>
          <w:numId w:val="1004"/>
        </w:numPr>
        <w:pStyle w:val="Compact"/>
      </w:pPr>
      <w:r>
        <w:rPr>
          <w:bCs/>
          <w:b/>
        </w:rPr>
        <w:t xml:space="preserve">Renewable Energy Usage:</w:t>
      </w:r>
      <w:r>
        <w:t xml:space="preserve"> </w:t>
      </w:r>
      <w:r>
        <w:t xml:space="preserve">kslwlkghtt (Illustrative value: 60%)</w:t>
      </w:r>
    </w:p>
    <w:bookmarkEnd w:id="26"/>
    <w:bookmarkStart w:id="27" w:name="logistics-data"/>
    <w:p>
      <w:pPr>
        <w:pStyle w:val="Heading4"/>
      </w:pPr>
      <w:r>
        <w:t xml:space="preserve">Logistics Data</w:t>
      </w:r>
    </w:p>
    <w:p>
      <w:pPr>
        <w:numPr>
          <w:ilvl w:val="0"/>
          <w:numId w:val="1005"/>
        </w:numPr>
        <w:pStyle w:val="Compact"/>
      </w:pPr>
      <w:r>
        <w:rPr>
          <w:bCs/>
          <w:b/>
        </w:rPr>
        <w:t xml:space="preserve">Transport Mode:</w:t>
      </w:r>
      <w:r>
        <w:t xml:space="preserve"> </w:t>
      </w:r>
      <w:r>
        <w:t xml:space="preserve">Select Mode (Illustrative value: Road Freight - Truck)</w:t>
      </w:r>
    </w:p>
    <w:p>
      <w:pPr>
        <w:numPr>
          <w:ilvl w:val="0"/>
          <w:numId w:val="1005"/>
        </w:numPr>
        <w:pStyle w:val="Compact"/>
      </w:pPr>
      <w:r>
        <w:rPr>
          <w:bCs/>
          <w:b/>
        </w:rPr>
        <w:t xml:space="preserve">Transport Distance:</w:t>
      </w:r>
      <w:r>
        <w:t xml:space="preserve"> </w:t>
      </w:r>
      <w:r>
        <w:t xml:space="preserve">jumyzujgek (Illustrative value: 1500 km)</w:t>
      </w:r>
    </w:p>
    <w:p>
      <w:pPr>
        <w:numPr>
          <w:ilvl w:val="0"/>
          <w:numId w:val="1005"/>
        </w:numPr>
        <w:pStyle w:val="Compact"/>
      </w:pPr>
      <w:r>
        <w:rPr>
          <w:bCs/>
          <w:b/>
        </w:rPr>
        <w:t xml:space="preserve">Last-Mile Delivery Channel:</w:t>
      </w:r>
      <w:r>
        <w:t xml:space="preserve"> </w:t>
      </w:r>
      <w:r>
        <w:t xml:space="preserve">Delivery Type (Illustrative value: Parcel Van)</w:t>
      </w:r>
    </w:p>
    <w:bookmarkEnd w:id="27"/>
    <w:bookmarkStart w:id="28" w:name="use-phase-data"/>
    <w:p>
      <w:pPr>
        <w:pStyle w:val="Heading4"/>
      </w:pPr>
      <w:r>
        <w:t xml:space="preserve">Use Phase Data</w:t>
      </w:r>
    </w:p>
    <w:p>
      <w:pPr>
        <w:numPr>
          <w:ilvl w:val="0"/>
          <w:numId w:val="1006"/>
        </w:numPr>
        <w:pStyle w:val="Compact"/>
      </w:pPr>
      <w:r>
        <w:rPr>
          <w:bCs/>
          <w:b/>
        </w:rPr>
        <w:t xml:space="preserve">Product Lifespan:</w:t>
      </w:r>
      <w:r>
        <w:t xml:space="preserve"> </w:t>
      </w:r>
      <w:r>
        <w:t xml:space="preserve">mhwzljwlvn (Illustrative value: 3 years)</w:t>
      </w:r>
    </w:p>
    <w:p>
      <w:pPr>
        <w:numPr>
          <w:ilvl w:val="0"/>
          <w:numId w:val="1006"/>
        </w:numPr>
        <w:pStyle w:val="Compact"/>
      </w:pPr>
      <w:r>
        <w:rPr>
          <w:bCs/>
          <w:b/>
        </w:rPr>
        <w:t xml:space="preserve">Energy Consumption in Use:</w:t>
      </w:r>
      <w:r>
        <w:t xml:space="preserve"> </w:t>
      </w:r>
      <w:r>
        <w:t xml:space="preserve">yjpokxxgfj (Illustrative value: 5 kWh/year)</w:t>
      </w:r>
    </w:p>
    <w:bookmarkEnd w:id="28"/>
    <w:bookmarkStart w:id="29" w:name="end-of-life-data"/>
    <w:p>
      <w:pPr>
        <w:pStyle w:val="Heading4"/>
      </w:pPr>
      <w:r>
        <w:t xml:space="preserve">End-of-Life Data</w:t>
      </w:r>
    </w:p>
    <w:p>
      <w:pPr>
        <w:numPr>
          <w:ilvl w:val="0"/>
          <w:numId w:val="1007"/>
        </w:numPr>
        <w:pStyle w:val="Compact"/>
      </w:pPr>
      <w:r>
        <w:rPr>
          <w:bCs/>
          <w:b/>
        </w:rPr>
        <w:t xml:space="preserve">Recyclability Percentage:</w:t>
      </w:r>
      <w:r>
        <w:t xml:space="preserve"> </w:t>
      </w:r>
      <w:r>
        <w:t xml:space="preserve">fsmisrxygo (Illustrative value: 75%)</w:t>
      </w:r>
    </w:p>
    <w:p>
      <w:pPr>
        <w:numPr>
          <w:ilvl w:val="0"/>
          <w:numId w:val="1007"/>
        </w:numPr>
        <w:pStyle w:val="Compact"/>
      </w:pPr>
      <w:r>
        <w:rPr>
          <w:bCs/>
          <w:b/>
        </w:rPr>
        <w:t xml:space="preserve">Circular/Take-back Programs:</w:t>
      </w:r>
      <w:r>
        <w:t xml:space="preserve"> </w:t>
      </w:r>
      <w:r>
        <w:t xml:space="preserve">mndqkrspyi (Illustrative description: Component recovery and refurbishment program)</w:t>
      </w:r>
    </w:p>
    <w:bookmarkEnd w:id="29"/>
    <w:bookmarkEnd w:id="30"/>
    <w:bookmarkStart w:id="31" w:name="Xb404f6bea4a0013006ec7a9103609d9ea6643c1"/>
    <w:p>
      <w:pPr>
        <w:pStyle w:val="Heading3"/>
      </w:pPr>
      <w:r>
        <w:t xml:space="preserve">1.4. Calculate Emissions (Activity * Emission Factor = CO2e)</w:t>
      </w:r>
    </w:p>
    <w:p>
      <w:pPr>
        <w:pStyle w:val="FirstParagraph"/>
      </w:pPr>
      <w:r>
        <w:t xml:space="preserve">Emissions were calculated by multiplying activity data (e.g., kg of material, kWh of energy, km traveled) by relevant emission factors. Industry-standard emission factors (e.g., from Ecoinvent/DEFRA equivalents) were utilized for processes where primary data was unavailable or for generic elements like electricity grids and transport modes. The \'Total Carbon\' values from the BOM were directly incorporated for material impacts.</w:t>
      </w:r>
    </w:p>
    <w:bookmarkEnd w:id="31"/>
    <w:bookmarkStart w:id="32" w:name="review-report"/>
    <w:p>
      <w:pPr>
        <w:pStyle w:val="Heading3"/>
      </w:pPr>
      <w:r>
        <w:t xml:space="preserve">1.5. Review &amp; Report</w:t>
      </w:r>
    </w:p>
    <w:p>
      <w:pPr>
        <w:pStyle w:val="FirstParagraph"/>
      </w:pPr>
      <w:r>
        <w:t xml:space="preserve">The calculated emissions were reviewed for accuracy and completeness. Emission hotspots were identified, and the reliability of the underlying data was assessed. This report synthesizes these findings.</w:t>
      </w:r>
    </w:p>
    <w:p>
      <w:r>
        <w:pict>
          <v:rect style="width:0;height:1.5pt" o:hralign="center" o:hrstd="t" o:hr="t"/>
        </w:pict>
      </w:r>
    </w:p>
    <w:bookmarkEnd w:id="32"/>
    <w:bookmarkEnd w:id="33"/>
    <w:bookmarkStart w:id="37" w:name="X25ab271e0b973df754491ec5ddcb2d245f47eaf"/>
    <w:p>
      <w:pPr>
        <w:pStyle w:val="Heading2"/>
      </w:pPr>
      <w:r>
        <w:t xml:space="preserve">2. GHG Protocol Adherence and 2026 LSR Update</w:t>
      </w:r>
    </w:p>
    <w:bookmarkStart w:id="34" w:name="ghg-protocol-categorization"/>
    <w:p>
      <w:pPr>
        <w:pStyle w:val="Heading3"/>
      </w:pPr>
      <w:r>
        <w:t xml:space="preserve">2.1. GHG Protocol Categorization</w:t>
      </w:r>
    </w:p>
    <w:p>
      <w:pPr>
        <w:pStyle w:val="FirstParagraph"/>
      </w:pPr>
      <w:r>
        <w:t xml:space="preserve">Emissions associated with uqynpoxpyg are categorized according to the GHG Protocol as follows:</w:t>
      </w:r>
    </w:p>
    <w:p>
      <w:pPr>
        <w:numPr>
          <w:ilvl w:val="0"/>
          <w:numId w:val="1008"/>
        </w:numPr>
        <w:pStyle w:val="Compact"/>
      </w:pPr>
      <w:r>
        <w:rPr>
          <w:bCs/>
          <w:b/>
        </w:rPr>
        <w:t xml:space="preserve">Scope 1 (Direct Emissions):</w:t>
      </w:r>
      <w:r>
        <w:t xml:space="preserve"> </w:t>
      </w:r>
      <w:r>
        <w:t xml:space="preserve">Emissions from sources owned or controlled by fzqwoietxt. For a product-level analysis within a \'factory_gate\' boundary, this would primarily include direct combustion on-site for manufacturing processes not related to purchased electricity (e.g., natural gas for heating or specific industrial processes).</w:t>
      </w:r>
    </w:p>
    <w:p>
      <w:pPr>
        <w:numPr>
          <w:ilvl w:val="0"/>
          <w:numId w:val="1008"/>
        </w:numPr>
        <w:pStyle w:val="Compact"/>
      </w:pPr>
      <w:r>
        <w:rPr>
          <w:bCs/>
          <w:b/>
        </w:rPr>
        <w:t xml:space="preserve">Scope 2 (Purchased Energy Emissions):</w:t>
      </w:r>
      <w:r>
        <w:t xml:space="preserve"> </w:t>
      </w:r>
      <w:r>
        <w:t xml:space="preserve">Indirect emissions from the generation of purchased electricity, steam, heating, and cooling consumed by fzqwoietxt\'s manufacturing operations.</w:t>
      </w:r>
    </w:p>
    <w:p>
      <w:pPr>
        <w:numPr>
          <w:ilvl w:val="0"/>
          <w:numId w:val="1008"/>
        </w:numPr>
        <w:pStyle w:val="Compact"/>
      </w:pPr>
      <w:r>
        <w:rPr>
          <w:bCs/>
          <w:b/>
        </w:rPr>
        <w:t xml:space="preserve">Scope 3 (Value Chain Emissions):</w:t>
      </w:r>
      <w:r>
        <w:t xml:space="preserve"> </w:t>
      </w:r>
      <w:r>
        <w:t xml:space="preserve">All other indirect emissions both upstream and downstream of fzqwoietxt\'s operations. This is the most significant scope for a PCF and includes:</w:t>
      </w:r>
    </w:p>
    <w:p>
      <w:pPr>
        <w:numPr>
          <w:ilvl w:val="1"/>
          <w:numId w:val="1009"/>
        </w:numPr>
        <w:pStyle w:val="Compact"/>
      </w:pPr>
      <w:r>
        <w:t xml:space="preserve">Upstream: Raw material extraction and processing (cradle-to-gate of components), inbound transportation, and capital goods.</w:t>
      </w:r>
    </w:p>
    <w:p>
      <w:pPr>
        <w:numPr>
          <w:ilvl w:val="1"/>
          <w:numId w:val="1009"/>
        </w:numPr>
        <w:pStyle w:val="Compact"/>
      </w:pPr>
      <w:r>
        <w:t xml:space="preserve">Downstream: Outbound transportation, product use phase energy consumption, and end-of-life treatment.</w:t>
      </w:r>
    </w:p>
    <w:bookmarkEnd w:id="34"/>
    <w:bookmarkStart w:id="35" w:name="X5a4f551c90074bc557f30e0af419a5f70a48401"/>
    <w:p>
      <w:pPr>
        <w:pStyle w:val="Heading3"/>
      </w:pPr>
      <w:r>
        <w:t xml:space="preserve">2.2. 2026 Land Sector and Removals (LSR) Standard Application</w:t>
      </w:r>
    </w:p>
    <w:p>
      <w:pPr>
        <w:pStyle w:val="FirstParagraph"/>
      </w:pPr>
      <w:r>
        <w:t xml:space="preserve">In line with the 2026 LSR update, this analysis accounts for land use and carbon removals. While specific land-use change data was not provided for this product, the methodology acknowledges and integrates the principles of the LSR Standard by:</w:t>
      </w:r>
    </w:p>
    <w:p>
      <w:pPr>
        <w:numPr>
          <w:ilvl w:val="0"/>
          <w:numId w:val="1010"/>
        </w:numPr>
        <w:pStyle w:val="Compact"/>
      </w:pPr>
      <w:r>
        <w:t xml:space="preserve">Considering biogenic carbon flows where applicable, particularly in materials derived from biological sources (not explicitly in the illustrative BOM but accounted for in principle).</w:t>
      </w:r>
    </w:p>
    <w:p>
      <w:pPr>
        <w:numPr>
          <w:ilvl w:val="0"/>
          <w:numId w:val="1010"/>
        </w:numPr>
        <w:pStyle w:val="Compact"/>
      </w:pPr>
      <w:r>
        <w:t xml:space="preserve">Addressing potential emissions or removals from land-use change associated with raw material sourcing.</w:t>
      </w:r>
    </w:p>
    <w:p>
      <w:pPr>
        <w:numPr>
          <w:ilvl w:val="0"/>
          <w:numId w:val="1010"/>
        </w:numPr>
        <w:pStyle w:val="Compact"/>
      </w:pPr>
      <w:r>
        <w:t xml:space="preserve">Including any carbon removal activities directly attributable to the product\'s value chain, though none are specifically identified in the provided parameters for uqynpoxpyg.</w:t>
      </w:r>
    </w:p>
    <w:bookmarkEnd w:id="35"/>
    <w:bookmarkStart w:id="36" w:name="scope-3-compliance"/>
    <w:p>
      <w:pPr>
        <w:pStyle w:val="Heading3"/>
      </w:pPr>
      <w:r>
        <w:t xml:space="preserve">2.3. Scope 3 Compliance</w:t>
      </w:r>
    </w:p>
    <w:p>
      <w:pPr>
        <w:pStyle w:val="FirstParagraph"/>
      </w:pPr>
      <w:r>
        <w:t xml:space="preserve">Ensuring robust Scope 3 reporting is critical. This analysis aims for at least</w:t>
      </w:r>
      <w:r>
        <w:t xml:space="preserve"> </w:t>
      </w:r>
      <w:r>
        <w:rPr>
          <w:bCs/>
          <w:b/>
        </w:rPr>
        <w:t xml:space="preserve">95% coverage for Scope 3 reporting</w:t>
      </w:r>
      <w:r>
        <w:t xml:space="preserve">, as per 2026 requirements. The detailed BOM, specific logistics, use phase, and end-of-life data are fundamental to achieving this high level of coverage by addressing significant categories like purchased goods and services, transportation, use of sold products, and end-of-life treatment of sold products.</w:t>
      </w:r>
    </w:p>
    <w:p>
      <w:r>
        <w:pict>
          <v:rect style="width:0;height:1.5pt" o:hralign="center" o:hrstd="t" o:hr="t"/>
        </w:pict>
      </w:r>
    </w:p>
    <w:bookmarkEnd w:id="36"/>
    <w:bookmarkEnd w:id="37"/>
    <w:bookmarkStart w:id="43" w:name="X59886b60616177638cbb3a82927930cfcbf0860"/>
    <w:p>
      <w:pPr>
        <w:pStyle w:val="Heading2"/>
      </w:pPr>
      <w:r>
        <w:t xml:space="preserve">3. Product Carbon Footprint Analysis for uqynpoxpyg</w:t>
      </w:r>
    </w:p>
    <w:p>
      <w:pPr>
        <w:pStyle w:val="FirstParagraph"/>
      </w:pPr>
      <w:r>
        <w:t xml:space="preserve">This section presents the detailed breakdown of emissions across the lifecycle of uqynpoxpyg, based on the provided parameters and illustrative data.</w:t>
      </w:r>
    </w:p>
    <w:p>
      <w:pPr>
        <w:pStyle w:val="BodyText"/>
      </w:pPr>
      <w:r>
        <w:rPr>
          <w:bCs/>
          <w:b/>
        </w:rPr>
        <w:t xml:space="preserve">Total Product Mass (Illustrative from BOM Qty):</w:t>
      </w:r>
      <w:r>
        <w:t xml:space="preserve"> </w:t>
      </w:r>
      <w:r>
        <w:t xml:space="preserve">0.5 + 0.3 + 0.1 + 1 + 0.2 = 2.1 kg per unit.</w:t>
      </w:r>
    </w:p>
    <w:bookmarkStart w:id="38" w:name="Xff31e690bfe279af69cf88b9219fe5d56042afb"/>
    <w:p>
      <w:pPr>
        <w:pStyle w:val="Heading3"/>
      </w:pPr>
      <w:r>
        <w:t xml:space="preserve">3.1. Raw Material Acquisition &amp; Pre-processing (Scope 3 - Upstream)</w:t>
      </w:r>
    </w:p>
    <w:p>
      <w:pPr>
        <w:pStyle w:val="FirstParagraph"/>
      </w:pPr>
      <w:r>
        <w:t xml:space="preserve">This stage accounts for the emissions associated with extracting, processing, and manufacturing the components and raw materials before they arrive at fzqwoietxt\'s production facility. The \'Total Carbon\' from the illustrative BOM serves as the primary data point for this category.</w:t>
      </w:r>
    </w:p>
    <w:p>
      <w:pPr>
        <w:pStyle w:val="BodyText"/>
      </w:pPr>
      <w:r>
        <w:rPr>
          <w:bCs/>
          <w:b/>
        </w:rPr>
        <w:t xml:space="preserve">Illustrative Calculation:</w:t>
      </w:r>
    </w:p>
    <w:p>
      <w:pPr>
        <w:numPr>
          <w:ilvl w:val="0"/>
          <w:numId w:val="1011"/>
        </w:numPr>
        <w:pStyle w:val="Compact"/>
      </w:pPr>
      <w:r>
        <w:t xml:space="preserve">Aluminum Casing: 5.0 kg CO2e</w:t>
      </w:r>
    </w:p>
    <w:p>
      <w:pPr>
        <w:numPr>
          <w:ilvl w:val="0"/>
          <w:numId w:val="1011"/>
        </w:numPr>
        <w:pStyle w:val="Compact"/>
      </w:pPr>
      <w:r>
        <w:t xml:space="preserve">ABS Plastic Shell: 1.05 kg CO2e</w:t>
      </w:r>
    </w:p>
    <w:p>
      <w:pPr>
        <w:numPr>
          <w:ilvl w:val="0"/>
          <w:numId w:val="1011"/>
        </w:numPr>
        <w:pStyle w:val="Compact"/>
      </w:pPr>
      <w:r>
        <w:t xml:space="preserve">Copper Wire: 0.8 kg CO2e</w:t>
      </w:r>
    </w:p>
    <w:p>
      <w:pPr>
        <w:numPr>
          <w:ilvl w:val="0"/>
          <w:numId w:val="1011"/>
        </w:numPr>
        <w:pStyle w:val="Compact"/>
      </w:pPr>
      <w:r>
        <w:t xml:space="preserve">Circuit Board: 2.0 kg CO2e</w:t>
      </w:r>
    </w:p>
    <w:p>
      <w:pPr>
        <w:numPr>
          <w:ilvl w:val="0"/>
          <w:numId w:val="1011"/>
        </w:numPr>
        <w:pStyle w:val="Compact"/>
      </w:pPr>
      <w:r>
        <w:t xml:space="preserve">Lithium-ion Battery: 2.4 kg CO2e</w:t>
      </w:r>
    </w:p>
    <w:p>
      <w:pPr>
        <w:pStyle w:val="FirstParagraph"/>
      </w:pPr>
      <w:r>
        <w:rPr>
          <w:bCs/>
          <w:b/>
        </w:rPr>
        <w:t xml:space="preserve">Total Material Emissions (Illustrative): 5.0 + 1.05 + 0.8 + 2.0 + 2.4 = 11.25 kg CO2e per unit.</w:t>
      </w:r>
    </w:p>
    <w:bookmarkEnd w:id="38"/>
    <w:bookmarkStart w:id="39" w:name="X547a78713c2a279cab947c5de799d67ada9a40d"/>
    <w:p>
      <w:pPr>
        <w:pStyle w:val="Heading3"/>
      </w:pPr>
      <w:r>
        <w:t xml:space="preserve">3.2. Manufacturing (Production) Phase (Scope 1 &amp; Scope 2)</w:t>
      </w:r>
    </w:p>
    <w:p>
      <w:pPr>
        <w:pStyle w:val="FirstParagraph"/>
      </w:pPr>
      <w:r>
        <w:t xml:space="preserve">This phase covers the energy consumption during the assembly and manufacturing processes at fzqwoietxt\'s facility in China.</w:t>
      </w:r>
    </w:p>
    <w:p>
      <w:pPr>
        <w:pStyle w:val="BodyText"/>
      </w:pPr>
      <w:r>
        <w:rPr>
          <w:bCs/>
          <w:b/>
        </w:rPr>
        <w:t xml:space="preserve">Illustrative Data:</w:t>
      </w:r>
    </w:p>
    <w:p>
      <w:pPr>
        <w:numPr>
          <w:ilvl w:val="0"/>
          <w:numId w:val="1012"/>
        </w:numPr>
        <w:pStyle w:val="Compact"/>
      </w:pPr>
      <w:r>
        <w:t xml:space="preserve">Energy Intensity (kWh/unit): 20 kWh/unit (uljluhrluo)</w:t>
      </w:r>
    </w:p>
    <w:p>
      <w:pPr>
        <w:numPr>
          <w:ilvl w:val="0"/>
          <w:numId w:val="1012"/>
        </w:numPr>
        <w:pStyle w:val="Compact"/>
      </w:pPr>
      <w:r>
        <w:t xml:space="preserve">Renewable Energy Usage: 60% (kslwlkghtt)</w:t>
      </w:r>
    </w:p>
    <w:p>
      <w:pPr>
        <w:numPr>
          <w:ilvl w:val="0"/>
          <w:numId w:val="1012"/>
        </w:numPr>
        <w:pStyle w:val="Compact"/>
      </w:pPr>
      <w:r>
        <w:t xml:space="preserve">Assumed Grid Emission Factor for China: 0.6 kg CO2e/kWh (Illustrative, secondary data)</w:t>
      </w:r>
    </w:p>
    <w:p>
      <w:pPr>
        <w:numPr>
          <w:ilvl w:val="0"/>
          <w:numId w:val="1012"/>
        </w:numPr>
        <w:pStyle w:val="Compact"/>
      </w:pPr>
      <w:r>
        <w:t xml:space="preserve">Assumed Renewable Energy Emission Factor: 0.02 kg CO2e/kWh (Illustrative, for residual emissions)</w:t>
      </w:r>
    </w:p>
    <w:p>
      <w:pPr>
        <w:pStyle w:val="FirstParagraph"/>
      </w:pPr>
      <w:r>
        <w:rPr>
          <w:bCs/>
          <w:b/>
        </w:rPr>
        <w:t xml:space="preserve">Illustrative Calculation:</w:t>
      </w:r>
    </w:p>
    <w:p>
      <w:pPr>
        <w:numPr>
          <w:ilvl w:val="0"/>
          <w:numId w:val="1013"/>
        </w:numPr>
        <w:pStyle w:val="Compact"/>
      </w:pPr>
      <w:r>
        <w:t xml:space="preserve">Non-renewable energy consumption: 20 kWh * (1 - 0.60) = 8 kWh</w:t>
      </w:r>
    </w:p>
    <w:p>
      <w:pPr>
        <w:numPr>
          <w:ilvl w:val="0"/>
          <w:numId w:val="1013"/>
        </w:numPr>
        <w:pStyle w:val="Compact"/>
      </w:pPr>
      <w:r>
        <w:t xml:space="preserve">Renewable energy consumption: 20 kWh * 0.60 = 12 kWh</w:t>
      </w:r>
    </w:p>
    <w:p>
      <w:pPr>
        <w:numPr>
          <w:ilvl w:val="0"/>
          <w:numId w:val="1013"/>
        </w:numPr>
        <w:pStyle w:val="Compact"/>
      </w:pPr>
      <w:r>
        <w:t xml:space="preserve">Emissions from non-renewable energy: 8 kWh * 0.6 kg CO2e/kWh = 4.8 kg CO2e</w:t>
      </w:r>
    </w:p>
    <w:p>
      <w:pPr>
        <w:numPr>
          <w:ilvl w:val="0"/>
          <w:numId w:val="1013"/>
        </w:numPr>
        <w:pStyle w:val="Compact"/>
      </w:pPr>
      <w:r>
        <w:t xml:space="preserve">Emissions from renewable energy (residual): 12 kWh * 0.02 kg CO2e/kWh = 0.24 kg CO2e</w:t>
      </w:r>
    </w:p>
    <w:p>
      <w:pPr>
        <w:pStyle w:val="FirstParagraph"/>
      </w:pPr>
      <w:r>
        <w:rPr>
          <w:bCs/>
          <w:b/>
        </w:rPr>
        <w:t xml:space="preserve">Total Production Energy Emissions (Illustrative): 4.8 + 0.24 = 5.04 kg CO2e per unit (predominantly Scope 2).</w:t>
      </w:r>
    </w:p>
    <w:p>
      <w:pPr>
        <w:pStyle w:val="BodyText"/>
      </w:pPr>
      <w:r>
        <w:rPr>
          <w:iCs/>
          <w:i/>
        </w:rPr>
        <w:t xml:space="preserve">Note: Any direct (Scope 1) emissions from on-site fuel combustion for specific manufacturing processes would be added here, but no specific data was provided.</w:t>
      </w:r>
    </w:p>
    <w:bookmarkEnd w:id="39"/>
    <w:bookmarkStart w:id="40" w:name="Xc78fa9e95fdc5a4841e5055035e97eb6a5c3c11"/>
    <w:p>
      <w:pPr>
        <w:pStyle w:val="Heading3"/>
      </w:pPr>
      <w:r>
        <w:t xml:space="preserve">3.3. Transport &amp; Distribution (Scope 3 - Upstream &amp; Downstream)</w:t>
      </w:r>
    </w:p>
    <w:p>
      <w:pPr>
        <w:pStyle w:val="FirstParagraph"/>
      </w:pPr>
      <w:r>
        <w:t xml:space="preserve">This includes inbound logistics for materials to the factory and outbound logistics of the finished product to the customer, including last-mile delivery.</w:t>
      </w:r>
    </w:p>
    <w:p>
      <w:pPr>
        <w:pStyle w:val="BodyText"/>
      </w:pPr>
      <w:r>
        <w:rPr>
          <w:bCs/>
          <w:b/>
        </w:rPr>
        <w:t xml:space="preserve">Illustrative Data:</w:t>
      </w:r>
    </w:p>
    <w:p>
      <w:pPr>
        <w:numPr>
          <w:ilvl w:val="0"/>
          <w:numId w:val="1014"/>
        </w:numPr>
        <w:pStyle w:val="Compact"/>
      </w:pPr>
      <w:r>
        <w:t xml:space="preserve">Transport Mode: Road Freight (Truck) (Select Mode)</w:t>
      </w:r>
    </w:p>
    <w:p>
      <w:pPr>
        <w:numPr>
          <w:ilvl w:val="0"/>
          <w:numId w:val="1014"/>
        </w:numPr>
        <w:pStyle w:val="Compact"/>
      </w:pPr>
      <w:r>
        <w:t xml:space="preserve">Transport Distance: 1500 km (jumyzujgek)</w:t>
      </w:r>
    </w:p>
    <w:p>
      <w:pPr>
        <w:numPr>
          <w:ilvl w:val="0"/>
          <w:numId w:val="1014"/>
        </w:numPr>
        <w:pStyle w:val="Compact"/>
      </w:pPr>
      <w:r>
        <w:t xml:space="preserve">Last-Mile Delivery Channel: Parcel Van (Delivery Type)</w:t>
      </w:r>
    </w:p>
    <w:p>
      <w:pPr>
        <w:numPr>
          <w:ilvl w:val="0"/>
          <w:numId w:val="1014"/>
        </w:numPr>
        <w:pStyle w:val="Compact"/>
      </w:pPr>
      <w:r>
        <w:t xml:space="preserve">Assumed Emission Factor for Road Freight (Truck): 0.09 kg CO2e/tonne-km (Illustrative, secondary data)</w:t>
      </w:r>
    </w:p>
    <w:p>
      <w:pPr>
        <w:numPr>
          <w:ilvl w:val="0"/>
          <w:numId w:val="1014"/>
        </w:numPr>
        <w:pStyle w:val="Compact"/>
      </w:pPr>
      <w:r>
        <w:t xml:space="preserve">Assumed Emission Factor for Parcel Van (Last-Mile): 0.15 kg CO2e/unit (Illustrative, for average last-mile delivery of a small package)</w:t>
      </w:r>
    </w:p>
    <w:p>
      <w:pPr>
        <w:numPr>
          <w:ilvl w:val="0"/>
          <w:numId w:val="1014"/>
        </w:numPr>
        <w:pStyle w:val="Compact"/>
      </w:pPr>
      <w:r>
        <w:t xml:space="preserve">Product Mass: 2.1 kg = 0.0021 tonnes</w:t>
      </w:r>
    </w:p>
    <w:p>
      <w:pPr>
        <w:numPr>
          <w:ilvl w:val="0"/>
          <w:numId w:val="1014"/>
        </w:numPr>
        <w:pStyle w:val="Compact"/>
      </w:pPr>
      <w:r>
        <w:t xml:space="preserve">Average Material Inbound Mass (e.g., assume 1.5x product mass due to processing waste/packaging): 3.15 kg = 0.00315 tonnes</w:t>
      </w:r>
    </w:p>
    <w:p>
      <w:pPr>
        <w:pStyle w:val="FirstParagraph"/>
      </w:pPr>
      <w:r>
        <w:rPr>
          <w:bCs/>
          <w:b/>
        </w:rPr>
        <w:t xml:space="preserve">Illustrative Calculation:</w:t>
      </w:r>
    </w:p>
    <w:p>
      <w:pPr>
        <w:numPr>
          <w:ilvl w:val="0"/>
          <w:numId w:val="1015"/>
        </w:numPr>
        <w:pStyle w:val="Compact"/>
      </w:pPr>
      <w:r>
        <w:rPr>
          <w:bCs/>
          <w:b/>
        </w:rPr>
        <w:t xml:space="preserve">Inbound Transport (Scope 3 - Upstream):</w:t>
      </w:r>
      <w:r>
        <w:t xml:space="preserve"> </w:t>
      </w:r>
      <w:r>
        <w:t xml:space="preserve">0.00315 tonnes * 1500 km * 0.09 kg CO2e/tonne-km = 0.425 kg CO2e</w:t>
      </w:r>
    </w:p>
    <w:p>
      <w:pPr>
        <w:numPr>
          <w:ilvl w:val="0"/>
          <w:numId w:val="1015"/>
        </w:numPr>
        <w:pStyle w:val="Compact"/>
      </w:pPr>
      <w:r>
        <w:rPr>
          <w:bCs/>
          <w:b/>
        </w:rPr>
        <w:t xml:space="preserve">Outbound Transport (Scope 3 - Downstream):</w:t>
      </w:r>
      <w:r>
        <w:t xml:space="preserve"> </w:t>
      </w:r>
      <w:r>
        <w:t xml:space="preserve">0.0021 tonnes * 1500 km * 0.09 kg CO2e/tonne-km = 0.284 kg CO2e</w:t>
      </w:r>
    </w:p>
    <w:p>
      <w:pPr>
        <w:numPr>
          <w:ilvl w:val="0"/>
          <w:numId w:val="1015"/>
        </w:numPr>
        <w:pStyle w:val="Compact"/>
      </w:pPr>
      <w:r>
        <w:rPr>
          <w:bCs/>
          <w:b/>
        </w:rPr>
        <w:t xml:space="preserve">Last-Mile Delivery (Scope 3 - Downstream):</w:t>
      </w:r>
      <w:r>
        <w:t xml:space="preserve"> </w:t>
      </w:r>
      <w:r>
        <w:t xml:space="preserve">1 unit * 0.15 kg CO2e/unit = 0.15 kg CO2e</w:t>
      </w:r>
    </w:p>
    <w:p>
      <w:pPr>
        <w:pStyle w:val="FirstParagraph"/>
      </w:pPr>
      <w:r>
        <w:rPr>
          <w:bCs/>
          <w:b/>
        </w:rPr>
        <w:t xml:space="preserve">Total Transport Emissions (Illustrative): 0.425 + 0.284 + 0.15 = 0.859 kg CO2e per unit.</w:t>
      </w:r>
    </w:p>
    <w:bookmarkEnd w:id="40"/>
    <w:bookmarkStart w:id="41" w:name="use-phase-scope-3---downstream"/>
    <w:p>
      <w:pPr>
        <w:pStyle w:val="Heading3"/>
      </w:pPr>
      <w:r>
        <w:t xml:space="preserve">3.4. Use Phase (Scope 3 - Downstream)</w:t>
      </w:r>
    </w:p>
    <w:p>
      <w:pPr>
        <w:pStyle w:val="FirstParagraph"/>
      </w:pPr>
      <w:r>
        <w:t xml:space="preserve">This phase accounts for the energy consumed during the product\'s lifespan by the end-user.</w:t>
      </w:r>
    </w:p>
    <w:p>
      <w:pPr>
        <w:pStyle w:val="BodyText"/>
      </w:pPr>
      <w:r>
        <w:rPr>
          <w:bCs/>
          <w:b/>
        </w:rPr>
        <w:t xml:space="preserve">Illustrative Data:</w:t>
      </w:r>
    </w:p>
    <w:p>
      <w:pPr>
        <w:numPr>
          <w:ilvl w:val="0"/>
          <w:numId w:val="1016"/>
        </w:numPr>
        <w:pStyle w:val="Compact"/>
      </w:pPr>
      <w:r>
        <w:t xml:space="preserve">Product Lifespan: 3 years (mhwzljwlvn)</w:t>
      </w:r>
    </w:p>
    <w:p>
      <w:pPr>
        <w:numPr>
          <w:ilvl w:val="0"/>
          <w:numId w:val="1016"/>
        </w:numPr>
        <w:pStyle w:val="Compact"/>
      </w:pPr>
      <w:r>
        <w:t xml:space="preserve">Energy Consumption in Use: 5 kWh/year (yjpokxxgfj)</w:t>
      </w:r>
    </w:p>
    <w:p>
      <w:pPr>
        <w:numPr>
          <w:ilvl w:val="0"/>
          <w:numId w:val="1016"/>
        </w:numPr>
        <w:pStyle w:val="Compact"/>
      </w:pPr>
      <w:r>
        <w:t xml:space="preserve">Assumed Average User Electricity Grid Emission Factor: 0.4 kg CO2e/kWh (Illustrative, secondary data for general consumption)</w:t>
      </w:r>
    </w:p>
    <w:p>
      <w:pPr>
        <w:pStyle w:val="FirstParagraph"/>
      </w:pPr>
      <w:r>
        <w:rPr>
          <w:bCs/>
          <w:b/>
        </w:rPr>
        <w:t xml:space="preserve">Illustrative Calculation:</w:t>
      </w:r>
    </w:p>
    <w:p>
      <w:pPr>
        <w:numPr>
          <w:ilvl w:val="0"/>
          <w:numId w:val="1017"/>
        </w:numPr>
        <w:pStyle w:val="Compact"/>
      </w:pPr>
      <w:r>
        <w:t xml:space="preserve">Total Energy Consumption over Lifespan: 3 years * 5 kWh/year = 15 kWh</w:t>
      </w:r>
    </w:p>
    <w:p>
      <w:pPr>
        <w:numPr>
          <w:ilvl w:val="0"/>
          <w:numId w:val="1017"/>
        </w:numPr>
        <w:pStyle w:val="Compact"/>
      </w:pPr>
      <w:r>
        <w:t xml:space="preserve">Emissions from Use Phase: 15 kWh * 0.4 kg CO2e/kWh = 6.0 kg CO2e</w:t>
      </w:r>
    </w:p>
    <w:p>
      <w:pPr>
        <w:pStyle w:val="FirstParagraph"/>
      </w:pPr>
      <w:r>
        <w:rPr>
          <w:bCs/>
          <w:b/>
        </w:rPr>
        <w:t xml:space="preserve">Total Use Phase Emissions (Illustrative): 6.0 kg CO2e per unit.</w:t>
      </w:r>
    </w:p>
    <w:bookmarkEnd w:id="41"/>
    <w:bookmarkStart w:id="42" w:name="X92fbc61eed99b9d9aafbebcbbd2c7ad7660f7e4"/>
    <w:p>
      <w:pPr>
        <w:pStyle w:val="Heading3"/>
      </w:pPr>
      <w:r>
        <w:t xml:space="preserve">3.5. End-of-Life (EoL) Phase (Scope 3 - Downstream)</w:t>
      </w:r>
    </w:p>
    <w:p>
      <w:pPr>
        <w:pStyle w:val="FirstParagraph"/>
      </w:pPr>
      <w:r>
        <w:t xml:space="preserve">This phase considers the emissions and potential avoided emissions from recycling and disposal scenarios.</w:t>
      </w:r>
    </w:p>
    <w:p>
      <w:pPr>
        <w:pStyle w:val="BodyText"/>
      </w:pPr>
      <w:r>
        <w:rPr>
          <w:bCs/>
          <w:b/>
        </w:rPr>
        <w:t xml:space="preserve">Illustrative Data:</w:t>
      </w:r>
    </w:p>
    <w:p>
      <w:pPr>
        <w:numPr>
          <w:ilvl w:val="0"/>
          <w:numId w:val="1018"/>
        </w:numPr>
        <w:pStyle w:val="Compact"/>
      </w:pPr>
      <w:r>
        <w:t xml:space="preserve">Recyclability Percentage: 75% (fsmisrxygo)</w:t>
      </w:r>
    </w:p>
    <w:p>
      <w:pPr>
        <w:numPr>
          <w:ilvl w:val="0"/>
          <w:numId w:val="1018"/>
        </w:numPr>
        <w:pStyle w:val="Compact"/>
      </w:pPr>
      <w:r>
        <w:t xml:space="preserve">Circular/Take-back Programs: Component recovery and refurbishment program (mndqkrspyi)</w:t>
      </w:r>
    </w:p>
    <w:p>
      <w:pPr>
        <w:numPr>
          <w:ilvl w:val="0"/>
          <w:numId w:val="1018"/>
        </w:numPr>
        <w:pStyle w:val="Compact"/>
      </w:pPr>
      <w:r>
        <w:t xml:space="preserve">Product Mass: 2.1 kg</w:t>
      </w:r>
    </w:p>
    <w:p>
      <w:pPr>
        <w:numPr>
          <w:ilvl w:val="0"/>
          <w:numId w:val="1018"/>
        </w:numPr>
        <w:pStyle w:val="Compact"/>
      </w:pPr>
      <w:r>
        <w:t xml:space="preserve">Assumed Emission Factor for Landfilling (product equivalent): 1.0 kg CO2e/kg (Illustrative, secondary data)</w:t>
      </w:r>
    </w:p>
    <w:p>
      <w:pPr>
        <w:numPr>
          <w:ilvl w:val="0"/>
          <w:numId w:val="1018"/>
        </w:numPr>
        <w:pStyle w:val="Compact"/>
      </w:pPr>
      <w:r>
        <w:t xml:space="preserve">Assumed Avoided Emission Factor for Recycling (product equivalent): -1.5 kg CO2e/kg (Illustrative, secondary data, based on displacing virgin material)</w:t>
      </w:r>
    </w:p>
    <w:p>
      <w:pPr>
        <w:pStyle w:val="FirstParagraph"/>
      </w:pPr>
      <w:r>
        <w:rPr>
          <w:bCs/>
          <w:b/>
        </w:rPr>
        <w:t xml:space="preserve">Illustrative Calculation:</w:t>
      </w:r>
    </w:p>
    <w:p>
      <w:pPr>
        <w:numPr>
          <w:ilvl w:val="0"/>
          <w:numId w:val="1019"/>
        </w:numPr>
        <w:pStyle w:val="Compact"/>
      </w:pPr>
      <w:r>
        <w:t xml:space="preserve">Emissions from Landfilled portion: (1 - 0.75) * 2.1 kg * 1.0 kg CO2e/kg = 0.525 kg CO2e</w:t>
      </w:r>
    </w:p>
    <w:p>
      <w:pPr>
        <w:numPr>
          <w:ilvl w:val="0"/>
          <w:numId w:val="1019"/>
        </w:numPr>
        <w:pStyle w:val="Compact"/>
      </w:pPr>
      <w:r>
        <w:t xml:space="preserve">Avoided Emissions from Recycled portion: 0.75 * 2.1 kg * (-1.5 kg CO2e/kg) = -2.363 kg CO2e</w:t>
      </w:r>
    </w:p>
    <w:p>
      <w:pPr>
        <w:pStyle w:val="FirstParagraph"/>
      </w:pPr>
      <w:r>
        <w:rPr>
          <w:bCs/>
          <w:b/>
        </w:rPr>
        <w:t xml:space="preserve">Total End-of-Life Emissions (Illustrative): 0.525 - 2.363 = -1.838 kg CO2e per unit.</w:t>
      </w:r>
    </w:p>
    <w:p>
      <w:pPr>
        <w:pStyle w:val="BodyText"/>
      </w:pPr>
      <w:r>
        <w:rPr>
          <w:iCs/>
          <w:i/>
        </w:rPr>
        <w:t xml:space="preserve">The negative value indicates a net carbon benefit due to high recyclability and displacement of virgin materials. The "Component recovery and refurbishment program" (mndqkrspyi) would further enhance this benefit by extending product life and reducing the need for new production, though quantified impact is not included in this illustrative calculation without specific data.</w:t>
      </w:r>
    </w:p>
    <w:p>
      <w:r>
        <w:pict>
          <v:rect style="width:0;height:1.5pt" o:hralign="center" o:hrstd="t" o:hr="t"/>
        </w:pict>
      </w:r>
    </w:p>
    <w:bookmarkEnd w:id="42"/>
    <w:bookmarkEnd w:id="43"/>
    <w:bookmarkStart w:id="46" w:name="X91f2b83c5cb75f8b293286b5cc86752a5da6129"/>
    <w:p>
      <w:pPr>
        <w:pStyle w:val="Heading2"/>
      </w:pPr>
      <w:r>
        <w:t xml:space="preserve">4. Overall Product Carbon Footprint and Hotspots</w:t>
      </w:r>
    </w:p>
    <w:bookmarkStart w:id="44"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Percentage of Total (%)</w:t>
            </w:r>
          </w:p>
        </w:tc>
        <w:tc>
          <w:tcPr/>
          <w:p>
            <w:pPr>
              <w:pStyle w:val="Compact"/>
              <w:jc w:val="left"/>
            </w:pPr>
            <w:r>
              <w:t xml:space="preserve">GHG Scope(s)</w:t>
            </w:r>
          </w:p>
        </w:tc>
      </w:tr>
      <w:tr>
        <w:tc>
          <w:tcPr/>
          <w:p>
            <w:pPr>
              <w:pStyle w:val="Compact"/>
              <w:jc w:val="left"/>
            </w:pPr>
            <w:r>
              <w:t xml:space="preserve">Raw Material Acquisition &amp; Pre-processing</w:t>
            </w:r>
          </w:p>
        </w:tc>
        <w:tc>
          <w:tcPr/>
          <w:p>
            <w:pPr>
              <w:pStyle w:val="Compact"/>
              <w:jc w:val="left"/>
            </w:pPr>
            <w:r>
              <w:t xml:space="preserve">11.25</w:t>
            </w:r>
          </w:p>
        </w:tc>
        <w:tc>
          <w:tcPr/>
          <w:p>
            <w:pPr>
              <w:pStyle w:val="Compact"/>
              <w:jc w:val="left"/>
            </w:pPr>
            <w:r>
              <w:t xml:space="preserve">49.6%</w:t>
            </w:r>
          </w:p>
        </w:tc>
        <w:tc>
          <w:tcPr/>
          <w:p>
            <w:pPr>
              <w:pStyle w:val="Compact"/>
              <w:jc w:val="left"/>
            </w:pPr>
            <w:r>
              <w:t xml:space="preserve">Scope 3 (Upstream)</w:t>
            </w:r>
          </w:p>
        </w:tc>
      </w:tr>
      <w:tr>
        <w:tc>
          <w:tcPr/>
          <w:p>
            <w:pPr>
              <w:pStyle w:val="Compact"/>
              <w:jc w:val="left"/>
            </w:pPr>
            <w:r>
              <w:t xml:space="preserve">Manufacturing (Production)</w:t>
            </w:r>
          </w:p>
        </w:tc>
        <w:tc>
          <w:tcPr/>
          <w:p>
            <w:pPr>
              <w:pStyle w:val="Compact"/>
              <w:jc w:val="left"/>
            </w:pPr>
            <w:r>
              <w:t xml:space="preserve">5.04</w:t>
            </w:r>
          </w:p>
        </w:tc>
        <w:tc>
          <w:tcPr/>
          <w:p>
            <w:pPr>
              <w:pStyle w:val="Compact"/>
              <w:jc w:val="left"/>
            </w:pPr>
            <w:r>
              <w:t xml:space="preserve">22.2%</w:t>
            </w:r>
          </w:p>
        </w:tc>
        <w:tc>
          <w:tcPr/>
          <w:p>
            <w:pPr>
              <w:pStyle w:val="Compact"/>
              <w:jc w:val="left"/>
            </w:pPr>
            <w:r>
              <w:t xml:space="preserve">Scope 1, 2</w:t>
            </w:r>
          </w:p>
        </w:tc>
      </w:tr>
      <w:tr>
        <w:tc>
          <w:tcPr/>
          <w:p>
            <w:pPr>
              <w:pStyle w:val="Compact"/>
              <w:jc w:val="left"/>
            </w:pPr>
            <w:r>
              <w:t xml:space="preserve">Transport &amp; Distribution</w:t>
            </w:r>
          </w:p>
        </w:tc>
        <w:tc>
          <w:tcPr/>
          <w:p>
            <w:pPr>
              <w:pStyle w:val="Compact"/>
              <w:jc w:val="left"/>
            </w:pPr>
            <w:r>
              <w:t xml:space="preserve">0.86</w:t>
            </w:r>
          </w:p>
        </w:tc>
        <w:tc>
          <w:tcPr/>
          <w:p>
            <w:pPr>
              <w:pStyle w:val="Compact"/>
              <w:jc w:val="left"/>
            </w:pPr>
            <w:r>
              <w:t xml:space="preserve">3.8%</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6.00</w:t>
            </w:r>
          </w:p>
        </w:tc>
        <w:tc>
          <w:tcPr/>
          <w:p>
            <w:pPr>
              <w:pStyle w:val="Compact"/>
              <w:jc w:val="left"/>
            </w:pPr>
            <w:r>
              <w:t xml:space="preserve">26.5%</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-1.84</w:t>
            </w:r>
          </w:p>
        </w:tc>
        <w:tc>
          <w:tcPr/>
          <w:p>
            <w:pPr>
              <w:pStyle w:val="Compact"/>
              <w:jc w:val="left"/>
            </w:pPr>
            <w:r>
              <w:t xml:space="preserve">-8.1%</w:t>
            </w:r>
          </w:p>
        </w:tc>
        <w:tc>
          <w:tcPr/>
          <w:p>
            <w:pPr>
              <w:pStyle w:val="Compact"/>
              <w:jc w:val="left"/>
            </w:pPr>
            <w:r>
              <w:t xml:space="preserve">Scope 3 (Downstream)</w:t>
            </w:r>
          </w:p>
        </w:tc>
      </w:tr>
      <w:tr>
        <w:tc>
          <w:tcPr/>
          <w:p>
            <w:pPr>
              <w:pStyle w:val="Compact"/>
              <w:jc w:val="left"/>
            </w:pPr>
            <w:r>
              <w:t xml:space="preserve">Total PCF (Net)</w:t>
            </w:r>
          </w:p>
        </w:tc>
        <w:tc>
          <w:tcPr/>
          <w:p>
            <w:pPr>
              <w:pStyle w:val="Compact"/>
              <w:jc w:val="left"/>
            </w:pPr>
            <w:r>
              <w:t xml:space="preserve">21.31</w:t>
            </w:r>
          </w:p>
        </w:tc>
        <w:tc>
          <w:tcPr/>
          <w:p>
            <w:pPr>
              <w:pStyle w:val="Compact"/>
              <w:jc w:val="left"/>
            </w:pPr>
            <w:r>
              <w:t xml:space="preserve">100%</w:t>
            </w:r>
          </w:p>
        </w:tc>
        <w:tc>
          <w:tcPr/>
          <w:p>
            <w:pPr>
              <w:pStyle w:val="Compact"/>
            </w:pPr>
          </w:p>
        </w:tc>
      </w:tr>
    </w:tbl>
    <w:p>
      <w:pPr>
        <w:pStyle w:val="BodyText"/>
      </w:pPr>
      <w:r>
        <w:rPr>
          <w:iCs/>
          <w:i/>
        </w:rPr>
        <w:t xml:space="preserve">Note: Percentages are calculated based on the sum of positive emissions, with EoL as a reduction. Total PCF is the net sum.</w:t>
      </w:r>
    </w:p>
    <w:bookmarkEnd w:id="44"/>
    <w:bookmarkStart w:id="45" w:name="hotspot-identification"/>
    <w:p>
      <w:pPr>
        <w:pStyle w:val="Heading3"/>
      </w:pPr>
      <w:r>
        <w:t xml:space="preserve">4.2. Hotspot Identification</w:t>
      </w:r>
    </w:p>
    <w:p>
      <w:pPr>
        <w:pStyle w:val="FirstParagraph"/>
      </w:pPr>
      <w:r>
        <w:t xml:space="preserve">Based on the illustrative calculations, the primary emission hotspots for uqynpoxpyg are:</w:t>
      </w:r>
    </w:p>
    <w:p>
      <w:pPr>
        <w:numPr>
          <w:ilvl w:val="0"/>
          <w:numId w:val="1020"/>
        </w:numPr>
        <w:pStyle w:val="Compact"/>
      </w:pPr>
      <w:r>
        <w:rPr>
          <w:bCs/>
          <w:b/>
        </w:rPr>
        <w:t xml:space="preserve">Raw Material Acquisition &amp; Pre-processing (Scope 3 Upstream):</w:t>
      </w:r>
      <w:r>
        <w:t xml:space="preserve"> </w:t>
      </w:r>
      <w:r>
        <w:t xml:space="preserve">This stage contributes the largest share (49.6%) of the product\'s carbon footprint. Efforts should focus on sourcing lower-carbon materials, optimizing material use, and engaging with suppliers to reduce their embodied emissions.</w:t>
      </w:r>
    </w:p>
    <w:p>
      <w:pPr>
        <w:numPr>
          <w:ilvl w:val="0"/>
          <w:numId w:val="1020"/>
        </w:numPr>
        <w:pStyle w:val="Compact"/>
      </w:pPr>
      <w:r>
        <w:rPr>
          <w:bCs/>
          <w:b/>
        </w:rPr>
        <w:t xml:space="preserve">Use Phase (Scope 3 Downstream):</w:t>
      </w:r>
      <w:r>
        <w:t xml:space="preserve"> </w:t>
      </w:r>
      <w:r>
        <w:t xml:space="preserve">The energy consumed during the product\'s lifespan is the second most significant hotspot (26.5%). Improving energy efficiency of the product and educating users on sustainable energy practices can yield substantial reductions.</w:t>
      </w:r>
    </w:p>
    <w:p>
      <w:pPr>
        <w:numPr>
          <w:ilvl w:val="0"/>
          <w:numId w:val="1020"/>
        </w:numPr>
        <w:pStyle w:val="Compact"/>
      </w:pPr>
      <w:r>
        <w:rPr>
          <w:bCs/>
          <w:b/>
        </w:rPr>
        <w:t xml:space="preserve">Manufacturing (Production) (Scope 1 &amp; 2):</w:t>
      </w:r>
      <w:r>
        <w:t xml:space="preserve"> </w:t>
      </w:r>
      <w:r>
        <w:t xml:space="preserve">Although smaller, this represents a significant operational hotspot (22.2%). Increasing renewable energy procurement beyond the current 60% (kslwlkghtt) and implementing energy efficiency measures at the production facility are key strategies.</w:t>
      </w:r>
    </w:p>
    <w:p>
      <w:r>
        <w:pict>
          <v:rect style="width:0;height:1.5pt" o:hralign="center" o:hrstd="t" o:hr="t"/>
        </w:pict>
      </w:r>
    </w:p>
    <w:bookmarkEnd w:id="45"/>
    <w:bookmarkEnd w:id="46"/>
    <w:bookmarkStart w:id="49" w:name="conclusions-and-recommendations"/>
    <w:p>
      <w:pPr>
        <w:pStyle w:val="Heading2"/>
      </w:pPr>
      <w:r>
        <w:t xml:space="preserve">5. Conclusions and Recommendations</w:t>
      </w:r>
    </w:p>
    <w:p>
      <w:pPr>
        <w:pStyle w:val="FirstParagraph"/>
      </w:pPr>
      <w:r>
        <w:t xml:space="preserve">The Product Carbon Footprint for uqynpoxpyg is illustratively calculated at</w:t>
      </w:r>
      <w:r>
        <w:t xml:space="preserve"> </w:t>
      </w:r>
      <w:r>
        <w:rPr>
          <w:bCs/>
          <w:b/>
        </w:rPr>
        <w:t xml:space="preserve">21.31 kg CO2e per functional unit</w:t>
      </w:r>
      <w:r>
        <w:t xml:space="preserve">, following the GHG Protocol. This comprehensive analysis, conducted by wnigqvuhqe, highlights the critical areas for emission reduction across the product\'s lifecycle for fzqwoietxt.</w:t>
      </w:r>
    </w:p>
    <w:bookmarkStart w:id="47" w:name="key-insights"/>
    <w:p>
      <w:pPr>
        <w:pStyle w:val="Heading3"/>
      </w:pPr>
      <w:r>
        <w:t xml:space="preserve">5.1. Key Insights</w:t>
      </w:r>
    </w:p>
    <w:p>
      <w:pPr>
        <w:numPr>
          <w:ilvl w:val="0"/>
          <w:numId w:val="1021"/>
        </w:numPr>
        <w:pStyle w:val="Compact"/>
      </w:pPr>
      <w:r>
        <w:t xml:space="preserve">Material production and the energy consumption during the product\'s use phase are the dominant contributors to the overall footprint.</w:t>
      </w:r>
    </w:p>
    <w:p>
      <w:pPr>
        <w:numPr>
          <w:ilvl w:val="0"/>
          <w:numId w:val="1021"/>
        </w:numPr>
        <w:pStyle w:val="Compact"/>
      </w:pPr>
      <w:r>
        <w:t xml:space="preserve">fzqwoietxt\'s current renewable energy usage (kslwlkghtt) significantly mitigates production emissions, but further decarbonization is possible.</w:t>
      </w:r>
    </w:p>
    <w:p>
      <w:pPr>
        <w:numPr>
          <w:ilvl w:val="0"/>
          <w:numId w:val="1021"/>
        </w:numPr>
        <w:pStyle w:val="Compact"/>
      </w:pPr>
      <w:r>
        <w:t xml:space="preserve">The high recyclability (fsmisrxygo) and circular programs (mndqkrspyi) offer substantial end-of-life benefits, demonstrating a commitment to circularity.</w:t>
      </w:r>
    </w:p>
    <w:bookmarkEnd w:id="47"/>
    <w:bookmarkStart w:id="48" w:name="recommendations-for-emission-reduction"/>
    <w:p>
      <w:pPr>
        <w:pStyle w:val="Heading3"/>
      </w:pPr>
      <w:r>
        <w:t xml:space="preserve">5.2. Recommendations for Emission Reduction</w:t>
      </w:r>
    </w:p>
    <w:p>
      <w:pPr>
        <w:numPr>
          <w:ilvl w:val="0"/>
          <w:numId w:val="1022"/>
        </w:numPr>
        <w:pStyle w:val="Compact"/>
      </w:pPr>
      <w:r>
        <w:rPr>
          <w:bCs/>
          <w:b/>
        </w:rPr>
        <w:t xml:space="preserve">Material Optimization:</w:t>
      </w:r>
    </w:p>
    <w:p>
      <w:pPr>
        <w:numPr>
          <w:ilvl w:val="1"/>
          <w:numId w:val="1023"/>
        </w:numPr>
        <w:pStyle w:val="Compact"/>
      </w:pPr>
      <w:r>
        <w:rPr>
          <w:bCs/>
          <w:b/>
        </w:rPr>
        <w:t xml:space="preserve">Design for Low Carbon:</w:t>
      </w:r>
      <w:r>
        <w:t xml:space="preserve"> </w:t>
      </w:r>
      <w:r>
        <w:t xml:space="preserve">Explore alternative materials with lower embodied carbon, such as recycled content materials or bio-based plastics.</w:t>
      </w:r>
    </w:p>
    <w:p>
      <w:pPr>
        <w:numPr>
          <w:ilvl w:val="1"/>
          <w:numId w:val="1023"/>
        </w:numPr>
        <w:pStyle w:val="Compact"/>
      </w:pPr>
      <w:r>
        <w:rPr>
          <w:bCs/>
          <w:b/>
        </w:rPr>
        <w:t xml:space="preserve">Supplier Engagement:</w:t>
      </w:r>
      <w:r>
        <w:t xml:space="preserve"> </w:t>
      </w:r>
      <w:r>
        <w:t xml:space="preserve">Collaborate with key material suppliers to understand and reduce their upstream emissions, incentivizing sustainable practices.</w:t>
      </w:r>
    </w:p>
    <w:p>
      <w:pPr>
        <w:numPr>
          <w:ilvl w:val="0"/>
          <w:numId w:val="1022"/>
        </w:numPr>
        <w:pStyle w:val="Compact"/>
      </w:pPr>
      <w:r>
        <w:rPr>
          <w:bCs/>
          <w:b/>
        </w:rPr>
        <w:t xml:space="preserve">Enhance Production Efficiency:</w:t>
      </w:r>
    </w:p>
    <w:p>
      <w:pPr>
        <w:numPr>
          <w:ilvl w:val="1"/>
          <w:numId w:val="1024"/>
        </w:numPr>
        <w:pStyle w:val="Compact"/>
      </w:pPr>
      <w:r>
        <w:rPr>
          <w:bCs/>
          <w:b/>
        </w:rPr>
        <w:t xml:space="preserve">100% Renewable Energy:</w:t>
      </w:r>
      <w:r>
        <w:t xml:space="preserve"> </w:t>
      </w:r>
      <w:r>
        <w:t xml:space="preserve">Strive to achieve 100% renewable energy for manufacturing operations in China.</w:t>
      </w:r>
    </w:p>
    <w:p>
      <w:pPr>
        <w:numPr>
          <w:ilvl w:val="1"/>
          <w:numId w:val="1024"/>
        </w:numPr>
        <w:pStyle w:val="Compact"/>
      </w:pPr>
      <w:r>
        <w:rPr>
          <w:bCs/>
          <w:b/>
        </w:rPr>
        <w:t xml:space="preserve">Process Optimization:</w:t>
      </w:r>
      <w:r>
        <w:t xml:space="preserve"> </w:t>
      </w:r>
      <w:r>
        <w:t xml:space="preserve">Implement energy-efficient machinery and processes to further reduce energy intensity (uljluhrluo).</w:t>
      </w:r>
    </w:p>
    <w:p>
      <w:pPr>
        <w:numPr>
          <w:ilvl w:val="0"/>
          <w:numId w:val="1022"/>
        </w:numPr>
        <w:pStyle w:val="Compact"/>
      </w:pPr>
      <w:r>
        <w:rPr>
          <w:bCs/>
          <w:b/>
        </w:rPr>
        <w:t xml:space="preserve">Improve Use Phase Impact:</w:t>
      </w:r>
    </w:p>
    <w:p>
      <w:pPr>
        <w:numPr>
          <w:ilvl w:val="1"/>
          <w:numId w:val="1025"/>
        </w:numPr>
        <w:pStyle w:val="Compact"/>
      </w:pPr>
      <w:r>
        <w:rPr>
          <w:bCs/>
          <w:b/>
        </w:rPr>
        <w:t xml:space="preserve">Energy-Efficient Design:</w:t>
      </w:r>
      <w:r>
        <w:t xml:space="preserve"> </w:t>
      </w:r>
      <w:r>
        <w:t xml:space="preserve">Engineer uqynpoxpyg to consume even less energy during its operational lifespan (yjpokxxgfj).</w:t>
      </w:r>
    </w:p>
    <w:p>
      <w:pPr>
        <w:numPr>
          <w:ilvl w:val="1"/>
          <w:numId w:val="1025"/>
        </w:numPr>
        <w:pStyle w:val="Compact"/>
      </w:pPr>
      <w:r>
        <w:rPr>
          <w:bCs/>
          <w:b/>
        </w:rPr>
        <w:t xml:space="preserve">Promote Green Energy Use:</w:t>
      </w:r>
      <w:r>
        <w:t xml:space="preserve"> </w:t>
      </w:r>
      <w:r>
        <w:t xml:space="preserve">Encourage end-users to power the product with renewable energy sources where available.</w:t>
      </w:r>
    </w:p>
    <w:p>
      <w:pPr>
        <w:numPr>
          <w:ilvl w:val="1"/>
          <w:numId w:val="1025"/>
        </w:numPr>
        <w:pStyle w:val="Compact"/>
      </w:pPr>
      <w:r>
        <w:rPr>
          <w:bCs/>
          <w:b/>
        </w:rPr>
        <w:t xml:space="preserve">Extend Lifespan:</w:t>
      </w:r>
      <w:r>
        <w:t xml:space="preserve"> </w:t>
      </w:r>
      <w:r>
        <w:t xml:space="preserve">Further increase product durability (mhwzljwlvn) through robust design, repairability, and modularity.</w:t>
      </w:r>
    </w:p>
    <w:p>
      <w:pPr>
        <w:numPr>
          <w:ilvl w:val="0"/>
          <w:numId w:val="1022"/>
        </w:numPr>
        <w:pStyle w:val="Compact"/>
      </w:pPr>
      <w:r>
        <w:rPr>
          <w:bCs/>
          <w:b/>
        </w:rPr>
        <w:t xml:space="preserve">Strengthen Circularity:</w:t>
      </w:r>
    </w:p>
    <w:p>
      <w:pPr>
        <w:numPr>
          <w:ilvl w:val="1"/>
          <w:numId w:val="1026"/>
        </w:numPr>
        <w:pStyle w:val="Compact"/>
      </w:pPr>
      <w:r>
        <w:rPr>
          <w:bCs/>
          <w:b/>
        </w:rPr>
        <w:t xml:space="preserve">Expand Take-back Programs:</w:t>
      </w:r>
      <w:r>
        <w:t xml:space="preserve"> </w:t>
      </w:r>
      <w:r>
        <w:t xml:space="preserve">Broaden the scope and reach of the "Component recovery and refurbishment program" (mndqkrspyi) to maximize material recovery and reuse.</w:t>
      </w:r>
    </w:p>
    <w:p>
      <w:pPr>
        <w:numPr>
          <w:ilvl w:val="1"/>
          <w:numId w:val="1026"/>
        </w:numPr>
        <w:pStyle w:val="Compact"/>
      </w:pPr>
      <w:r>
        <w:rPr>
          <w:bCs/>
          <w:b/>
        </w:rPr>
        <w:t xml:space="preserve">Design for Disassembly:</w:t>
      </w:r>
      <w:r>
        <w:t xml:space="preserve"> </w:t>
      </w:r>
      <w:r>
        <w:t xml:space="preserve">Ensure uqynpoxpyg is easily disassembled to facilitate recycling and component reuse.</w:t>
      </w:r>
    </w:p>
    <w:p>
      <w:pPr>
        <w:numPr>
          <w:ilvl w:val="0"/>
          <w:numId w:val="1022"/>
        </w:numPr>
        <w:pStyle w:val="Compact"/>
      </w:pPr>
      <w:r>
        <w:rPr>
          <w:bCs/>
          <w:b/>
        </w:rPr>
        <w:t xml:space="preserve">Data Refinement:</w:t>
      </w:r>
    </w:p>
    <w:p>
      <w:pPr>
        <w:numPr>
          <w:ilvl w:val="1"/>
          <w:numId w:val="1027"/>
        </w:numPr>
        <w:pStyle w:val="Compact"/>
      </w:pPr>
      <w:r>
        <w:rPr>
          <w:bCs/>
          <w:b/>
        </w:rPr>
        <w:t xml:space="preserve">Primary Data Collection:</w:t>
      </w:r>
      <w:r>
        <w:t xml:space="preserve"> </w:t>
      </w:r>
      <w:r>
        <w:t xml:space="preserve">Where feasible, gather more specific primary data for transport modes, distances, and energy mixes to further improve accuracy.</w:t>
      </w:r>
    </w:p>
    <w:p>
      <w:pPr>
        <w:numPr>
          <w:ilvl w:val="1"/>
          <w:numId w:val="1027"/>
        </w:numPr>
        <w:pStyle w:val="Compact"/>
      </w:pPr>
      <w:r>
        <w:rPr>
          <w:bCs/>
          <w:b/>
        </w:rPr>
        <w:t xml:space="preserve">Emission Factor Update:</w:t>
      </w:r>
      <w:r>
        <w:t xml:space="preserve"> </w:t>
      </w:r>
      <w:r>
        <w:t xml:space="preserve">Regularly update emission factors with the latest available from Ecoinvent, DEFRA, or regional databases.</w:t>
      </w:r>
    </w:p>
    <w:p>
      <w:pPr>
        <w:pStyle w:val="FirstParagraph"/>
      </w:pPr>
      <w:r>
        <w:t xml:space="preserve">By implementing these recommendations, fzqwoietxt can significantly reduce the environmental impact of uqynpoxpyg and demonstrate leadership in sustainable product design and manufacturing.</w:t>
      </w:r>
    </w:p>
    <w:p>
      <w:pPr>
        <w:pStyle w:val="BodyText"/>
      </w:pPr>
      <w:r>
        <w:t xml:space="preserve">Confidential - Internal Use Only</w:t>
      </w:r>
    </w:p>
    <w:p>
      <w:pPr>
        <w:pStyle w:val="BodyText"/>
      </w:pPr>
      <w:r>
        <w:t xml:space="preserve">Page</w:t>
      </w:r>
      <w:r>
        <w:t xml:space="preserve"> </w:t>
      </w:r>
      <w:r>
        <w:t xml:space="preserve"> </w:t>
      </w:r>
      <w:r>
        <w:t xml:space="preserve">of</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uqynpoxpyg</dc:title>
  <dc:creator/>
  <dc:description>Detailed Product Carbon Footprint (PCF) analysis report for uqynpoxpyg by fzqwoietxt, following GHG Protocol standards and 2026 LSR update.</dc:description>
  <dc:language>en</dc:language>
  <cp:keywords/>
  <dcterms:created xsi:type="dcterms:W3CDTF">2026-07-15T04:52:42Z</dcterms:created>
  <dcterms:modified xsi:type="dcterms:W3CDTF">2026-07-15T04:52:42Z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