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uqwjukxlie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uqwjukxlie</w:t>
      </w:r>
    </w:p>
    <w:p>
      <w:pPr>
        <w:pStyle w:val="BodyText"/>
      </w:pPr>
      <w:r>
        <w:br/>
      </w:r>
    </w:p>
    <w:p>
      <w:pPr>
        <w:pStyle w:val="BodyText"/>
      </w:pPr>
      <w:r>
        <w:rPr>
          <w:bCs/>
          <w:b/>
        </w:rPr>
        <w:t xml:space="preserve">Company Name:</w:t>
      </w:r>
      <w:r>
        <w:t xml:space="preserve"> </w:t>
      </w:r>
      <w:r>
        <w:t xml:space="preserve">wfntywrwdf</w:t>
      </w:r>
    </w:p>
    <w:p>
      <w:pPr>
        <w:pStyle w:val="BodyText"/>
      </w:pPr>
      <w:r>
        <w:rPr>
          <w:bCs/>
          <w:b/>
        </w:rPr>
        <w:t xml:space="preserve">Senior Sustainability Consultant:</w:t>
      </w:r>
      <w:r>
        <w:t xml:space="preserve"> </w:t>
      </w:r>
      <w:r>
        <w:t xml:space="preserve">exrlduoyhw</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Due to the placeholder nature of some input parameters, illustrative data, and industry average emission factors have been used for calculations. Actual values may vary upon detailed primary data collection.*</w:t>
      </w:r>
    </w:p>
    <w:bookmarkEnd w:id="20"/>
    <w:bookmarkStart w:id="47" w:name="Xdf51dbfa659783f72ce421bc555b7f1f2062943"/>
    <w:p>
      <w:pPr>
        <w:pStyle w:val="Heading1"/>
      </w:pPr>
      <w:r>
        <w:t xml:space="preserve">Product Carbon Footprint Analysis: uqwjukxlie</w:t>
      </w:r>
    </w:p>
    <w:p>
      <w:pPr>
        <w:pStyle w:val="FirstParagraph"/>
      </w:pPr>
      <w:r>
        <w:rPr>
          <w:bCs/>
          <w:b/>
        </w:rPr>
        <w:t xml:space="preserve">Generated Date:</w:t>
      </w:r>
      <w:r>
        <w:t xml:space="preserve"> </w:t>
      </w:r>
      <w:r>
        <w:t xml:space="preserve">June 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uqwjukxlie, undertaken by exrlduoyhw, a Senior Sustainability Consultant for wfntywrwdf. The analysis strictly adheres to the Greenhouse Gas (GHG) Protocol standards, including recent 2026 updates concerning the Land Sector and Removals (LSR) Standard and enhanced Scope 3 reporting requirements. The primary objective is to quantify the greenhouse gas emissions associated with uqwjukxlie up to the factory gate (cradle-to-gate) and provide an illustrative full value chain perspective (cradle-to-grave) to identify key emission hotspots and inform reduction strategies. Due to the nature of the provided input parameters as placeholders, illustrative data and industry average emission factors have been utilized for the quantitative analysis, with explicit acknowledgment of this assumption.</w:t>
      </w:r>
    </w:p>
    <w:p>
      <w:pPr>
        <w:pStyle w:val="BodyText"/>
      </w:pPr>
      <w:r>
        <w:t xml:space="preserve">The cradle-to-gate PCF for uqwjukxlie is calculated to be</w:t>
      </w:r>
      <w:r>
        <w:t xml:space="preserve"> </w:t>
      </w:r>
      <w:r>
        <w:rPr>
          <w:bCs/>
          <w:b/>
        </w:rPr>
        <w:t xml:space="preserve">37.92 kg CO2e per unit</w:t>
      </w:r>
      <w:r>
        <w:t xml:space="preserve">. The most significant contributor to this footprint is the material acquisition and processing phase, followed by the manufacturing process and upstream transportation. Expanding to an illustrative full value chain (cradle-to-grave) assessment, which includes the use phase and end-of-life, the total footprint is approximately</w:t>
      </w:r>
      <w:r>
        <w:t xml:space="preserve"> </w:t>
      </w:r>
      <w:r>
        <w:rPr>
          <w:bCs/>
          <w:b/>
        </w:rPr>
        <w:t xml:space="preserve">48.22 kg CO2e per unit</w:t>
      </w:r>
      <w:r>
        <w:t xml:space="preserve">, with the use phase becoming a major hotspot.</w:t>
      </w:r>
    </w:p>
    <w:p>
      <w:r>
        <w:pict>
          <v:rect style="width:0;height:1.5pt" o:hralign="center" o:hrstd="t" o:hr="t"/>
        </w:pict>
      </w:r>
    </w:p>
    <w:bookmarkEnd w:id="21"/>
    <w:bookmarkStart w:id="22" w:name="methodology"/>
    <w:p>
      <w:pPr>
        <w:pStyle w:val="Heading2"/>
      </w:pPr>
      <w:r>
        <w:t xml:space="preserve">Methodology</w:t>
      </w:r>
    </w:p>
    <w:p>
      <w:pPr>
        <w:pStyle w:val="FirstParagraph"/>
      </w:pPr>
      <w:r>
        <w:t xml:space="preserve">The Product Carbon Footprint (PCF) analysis for uqwjukxlie follows the globally recognized GHG Protocol, specifically its Product Standard, in conjunction with the Corporate Standard for categorization. The methodology comprises five key steps:</w:t>
      </w:r>
    </w:p>
    <w:p>
      <w:pPr>
        <w:numPr>
          <w:ilvl w:val="0"/>
          <w:numId w:val="1001"/>
        </w:numPr>
      </w:pPr>
      <w:r>
        <w:rPr>
          <w:bCs/>
          <w:b/>
        </w:rPr>
        <w:t xml:space="preserve">Define Scope:</w:t>
      </w:r>
    </w:p>
    <w:p>
      <w:pPr>
        <w:numPr>
          <w:ilvl w:val="0"/>
          <w:numId w:val="1000"/>
        </w:numPr>
      </w:pPr>
      <w:r>
        <w:t xml:space="preserve">The functional unit, system boundaries, geographic scope, and allocation rules are established. For this PCF, the functional unit is defined as "1.0 unit of uqwjukxlie." The primary system boundary for the core PCF calculation is "factory_gate" (cradle-to-gate), encompassing all processes from raw material extraction to the final product leaving the manufacturing facility. For a comprehensive value chain understanding, an illustrative cradle-to-grave perspective including the use phase and end-of-life is also discussed. The geographic scope for final production is China, with a supply chain focus on Europe for raw material sourcing. The accounting standard adhered to is the GHG Protocol.</w:t>
      </w:r>
    </w:p>
    <w:p>
      <w:pPr>
        <w:numPr>
          <w:ilvl w:val="0"/>
          <w:numId w:val="1001"/>
        </w:numPr>
      </w:pPr>
      <w:r>
        <w:rPr>
          <w:bCs/>
          <w:b/>
        </w:rPr>
        <w:t xml:space="preserve">Map Lifecycle:</w:t>
      </w:r>
    </w:p>
    <w:p>
      <w:pPr>
        <w:numPr>
          <w:ilvl w:val="0"/>
          <w:numId w:val="1000"/>
        </w:numPr>
      </w:pPr>
      <w:r>
        <w:t xml:space="preserve">The complete lifecycle of uqwjukxlie is mapped, identifying all relevant stages from raw material extraction, through manufacturing, distribution, use, and end-of-life. This involves creating a detailed Life Cycle Inventory (LCI) to ensure all significant inputs and outputs are considered.</w:t>
      </w:r>
    </w:p>
    <w:p>
      <w:pPr>
        <w:numPr>
          <w:ilvl w:val="0"/>
          <w:numId w:val="1001"/>
        </w:numPr>
      </w:pPr>
      <w:r>
        <w:rPr>
          <w:bCs/>
          <w:b/>
        </w:rPr>
        <w:t xml:space="preserve">Collect Data:</w:t>
      </w:r>
    </w:p>
    <w:p>
      <w:pPr>
        <w:numPr>
          <w:ilvl w:val="0"/>
          <w:numId w:val="1000"/>
        </w:numPr>
      </w:pPr>
      <w:r>
        <w:t xml:space="preserve">Both primary and secondary data points are collected. Primary data, ideally from direct measurements or supplier-specific information, would be used for high-accuracy calculations. In the absence of specific parameter values, illustrative data following the user-defined formats and appropriate secondary (industry average) emission factors from recognized databases (e.g., Ecoinvent, DEFRA) are employed for this report.</w:t>
      </w:r>
    </w:p>
    <w:p>
      <w:pPr>
        <w:numPr>
          <w:ilvl w:val="0"/>
          <w:numId w:val="1001"/>
        </w:numPr>
      </w:pPr>
      <w:r>
        <w:rPr>
          <w:bCs/>
          <w:b/>
        </w:rPr>
        <w:t xml:space="preserve">Calculate Emissions:</w:t>
      </w:r>
    </w:p>
    <w:p>
      <w:pPr>
        <w:numPr>
          <w:ilvl w:val="0"/>
          <w:numId w:val="1000"/>
        </w:numPr>
      </w:pPr>
      <w:r>
        <w:t xml:space="preserve">Greenhouse gas emissions are calculated for each life cycle stage using the formula: Activity Data × Emission Factor = CO2e. Emissions are categorized into Scope 1 (direct emissions), Scope 2 (purchased energy emissions), and Scope 3 (value chain emissions) in accordance with the GHG Protocol. This report incorporates the 2026 LSR Update for land use and carbon removals where applicable to the value chain, and ensures at least 95% coverage for Scope 3 reporting as per 2026 requirements.</w:t>
      </w:r>
    </w:p>
    <w:p>
      <w:pPr>
        <w:numPr>
          <w:ilvl w:val="0"/>
          <w:numId w:val="1001"/>
        </w:numPr>
      </w:pPr>
      <w:r>
        <w:rPr>
          <w:bCs/>
          <w:b/>
        </w:rPr>
        <w:t xml:space="preserve">Review &amp; Report:</w:t>
      </w:r>
    </w:p>
    <w:p>
      <w:pPr>
        <w:numPr>
          <w:ilvl w:val="0"/>
          <w:numId w:val="1000"/>
        </w:numPr>
      </w:pPr>
      <w:r>
        <w:t xml:space="preserve">The results are reviewed to identify emission hotspots, assess data reliability, and formulate recommendations for reduction strategies. The report emphasizes transparency and completeness.</w:t>
      </w:r>
    </w:p>
    <w:p>
      <w:r>
        <w:pict>
          <v:rect style="width:0;height:1.5pt" o:hralign="center" o:hrstd="t" o:hr="t"/>
        </w:pict>
      </w:r>
    </w:p>
    <w:bookmarkEnd w:id="22"/>
    <w:bookmarkStart w:id="26" w:name="scope-definition"/>
    <w:p>
      <w:pPr>
        <w:pStyle w:val="Heading2"/>
      </w:pPr>
      <w:r>
        <w:t xml:space="preserve">1. Scope Definition</w:t>
      </w:r>
    </w:p>
    <w:bookmarkStart w:id="23" w:name="functional-unit-system-boundary"/>
    <w:p>
      <w:pPr>
        <w:pStyle w:val="Heading3"/>
      </w:pPr>
      <w:r>
        <w:t xml:space="preserve">Functional Unit &amp; System Boundary</w:t>
      </w:r>
    </w:p>
    <w:p>
      <w:pPr>
        <w:numPr>
          <w:ilvl w:val="0"/>
          <w:numId w:val="1002"/>
        </w:numPr>
        <w:pStyle w:val="Compact"/>
      </w:pPr>
      <w:r>
        <w:rPr>
          <w:bCs/>
          <w:b/>
        </w:rPr>
        <w:t xml:space="preserve">Functional Unit:</w:t>
      </w:r>
      <w:r>
        <w:t xml:space="preserve"> </w:t>
      </w:r>
      <w:r>
        <w:t xml:space="preserve">1.0 unit of uqwjukxlie</w:t>
      </w:r>
    </w:p>
    <w:p>
      <w:pPr>
        <w:numPr>
          <w:ilvl w:val="0"/>
          <w:numId w:val="1002"/>
        </w:numPr>
        <w:pStyle w:val="Compact"/>
      </w:pPr>
      <w:r>
        <w:rPr>
          <w:bCs/>
          <w:b/>
        </w:rPr>
        <w:t xml:space="preserve">System Boundary (Core PCF):</w:t>
      </w:r>
      <w:r>
        <w:t xml:space="preserve"> </w:t>
      </w:r>
      <w:r>
        <w:t xml:space="preserve">factory_gate (cradle-to-gate). This includes all processes from raw material extraction, processing, and transportation to the manufacturing facility, through the production processes, until the finished product is ready for dispatch from the factory.</w:t>
      </w:r>
    </w:p>
    <w:p>
      <w:pPr>
        <w:numPr>
          <w:ilvl w:val="0"/>
          <w:numId w:val="1002"/>
        </w:numPr>
        <w:pStyle w:val="Compact"/>
      </w:pPr>
      <w:r>
        <w:rPr>
          <w:bCs/>
          <w:b/>
        </w:rPr>
        <w:t xml:space="preserve">System Boundary (Illustrative Full Value Chain):</w:t>
      </w:r>
      <w:r>
        <w:t xml:space="preserve"> </w:t>
      </w:r>
      <w:r>
        <w:t xml:space="preserve">For a holistic understanding, an illustrative cradle-to-grave perspective is also considered, extending the analysis to include downstream transportation, the use phase, and end-of-life treatment.</w:t>
      </w:r>
    </w:p>
    <w:bookmarkEnd w:id="23"/>
    <w:bookmarkStart w:id="24"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upstream material sourcing)</w:t>
      </w:r>
    </w:p>
    <w:bookmarkEnd w:id="24"/>
    <w:bookmarkStart w:id="25" w:name="X60b1fdda16711dd294a84dfac12024252e73ad9"/>
    <w:p>
      <w:pPr>
        <w:pStyle w:val="Heading3"/>
      </w:pPr>
      <w:r>
        <w:t xml:space="preserve">Accounting Standard &amp; GHG Protocol Compliance</w:t>
      </w:r>
    </w:p>
    <w:p>
      <w:pPr>
        <w:pStyle w:val="FirstParagraph"/>
      </w:pPr>
      <w:r>
        <w:t xml:space="preserve">The Product Carbon Footprint is calculated in strict accordance with the</w:t>
      </w:r>
      <w:r>
        <w:t xml:space="preserve"> </w:t>
      </w:r>
      <w:r>
        <w:rPr>
          <w:bCs/>
          <w:b/>
        </w:rPr>
        <w:t xml:space="preserve">GHG Protocol</w:t>
      </w:r>
      <w:r>
        <w:t xml:space="preserve">. Emissions are categorized as follows:</w:t>
      </w:r>
    </w:p>
    <w:p>
      <w:pPr>
        <w:numPr>
          <w:ilvl w:val="0"/>
          <w:numId w:val="1004"/>
        </w:numPr>
        <w:pStyle w:val="Compact"/>
      </w:pPr>
      <w:r>
        <w:rPr>
          <w:bCs/>
          <w:b/>
        </w:rPr>
        <w:t xml:space="preserve">Scope 1:</w:t>
      </w:r>
      <w:r>
        <w:t xml:space="preserve"> </w:t>
      </w:r>
      <w:r>
        <w:t xml:space="preserve">Direct emissions from sources owned or controlled by wfntywrwdf within the factory_gate boundary (e.g., owned vehicles, direct fuel combustion).</w:t>
      </w:r>
    </w:p>
    <w:p>
      <w:pPr>
        <w:numPr>
          <w:ilvl w:val="0"/>
          <w:numId w:val="1004"/>
        </w:numPr>
        <w:pStyle w:val="Compact"/>
      </w:pPr>
      <w:r>
        <w:rPr>
          <w:bCs/>
          <w:b/>
        </w:rPr>
        <w:t xml:space="preserve">Scope 2:</w:t>
      </w:r>
      <w:r>
        <w:t xml:space="preserve"> </w:t>
      </w:r>
      <w:r>
        <w:t xml:space="preserve">Indirect emissions from the generation of purchased electricity consumed by wfntywrwdf\'s manufacturing facility.</w:t>
      </w:r>
    </w:p>
    <w:p>
      <w:pPr>
        <w:numPr>
          <w:ilvl w:val="0"/>
          <w:numId w:val="1004"/>
        </w:numPr>
        <w:pStyle w:val="Compact"/>
      </w:pPr>
      <w:r>
        <w:rPr>
          <w:bCs/>
          <w:b/>
        </w:rPr>
        <w:t xml:space="preserve">Scope 3:</w:t>
      </w:r>
      <w:r>
        <w:t xml:space="preserve"> </w:t>
      </w:r>
      <w:r>
        <w:t xml:space="preserve">All other indirect emissions occurring in the value chain, both upstream and downstream. For the factory_gate PCF, this primarily includes purchased goods and services (materials) and upstream transportation. For the illustrative full value chain, it extends to the use of sold products, end-of-life treatment, and downstream transportation.</w:t>
      </w:r>
    </w:p>
    <w:p>
      <w:pPr>
        <w:pStyle w:val="FirstParagraph"/>
      </w:pPr>
      <w:r>
        <w:rPr>
          <w:bCs/>
          <w:b/>
        </w:rPr>
        <w:t xml:space="preserve">2026 LSR Update:</w:t>
      </w:r>
      <w:r>
        <w:t xml:space="preserve"> </w:t>
      </w:r>
      <w:r>
        <w:t xml:space="preserve">The GHG Protocol Land Sector and Removals (LSR) Standard, released in January 2026 and effective January 1, 2027, provides requirements for accounting and reporting land emissions and CO2 removals, including technological removals. While this product (uqwjukxlie) may not have direct land-use impacts, its raw materials\' supply chains may be affected. The LSR standard will be considered in the broader corporate GHG inventory of wfntywrwdf, particularly if sourcing involves significant agricultural or forestry products, though forest carbon accounting is still under development.</w:t>
      </w:r>
    </w:p>
    <w:p>
      <w:pPr>
        <w:pStyle w:val="BodyText"/>
      </w:pPr>
      <w:r>
        <w:rPr>
          <w:bCs/>
          <w:b/>
        </w:rPr>
        <w:t xml:space="preserve">Scope 3 Compliance:</w:t>
      </w:r>
      <w:r>
        <w:t xml:space="preserve"> </w:t>
      </w:r>
      <w:r>
        <w:t xml:space="preserve">As per the proposed 2026 requirements, this analysis aims for at least 95% coverage of total required Scope 3 emissions to ensure completeness and accuracy. Exclusions, if any, are minimized and justified. The report also disaggregates Scope 3 emissions by data type for transparency.</w:t>
      </w:r>
    </w:p>
    <w:p>
      <w:r>
        <w:pict>
          <v:rect style="width:0;height:1.5pt" o:hralign="center" o:hrstd="t" o:hr="t"/>
        </w:pict>
      </w:r>
    </w:p>
    <w:bookmarkEnd w:id="25"/>
    <w:bookmarkEnd w:id="26"/>
    <w:bookmarkStart w:id="32" w:name="lifecycle-mapping-3.-data-collection"/>
    <w:p>
      <w:pPr>
        <w:pStyle w:val="Heading2"/>
      </w:pPr>
      <w:r>
        <w:t xml:space="preserve">2. Lifecycle Mapping &amp; 3. Data Collection</w:t>
      </w:r>
    </w:p>
    <w:p>
      <w:pPr>
        <w:pStyle w:val="FirstParagraph"/>
      </w:pPr>
      <w:r>
        <w:t xml:space="preserve">As the actual parameter values for \'whfhojjy\', \'wgxvpiohzd\', \'Select Mode\', \'Delivery Type\', \'qvhnykdiup\', \'sjfgikwpgj\', \'tvldvypuwu\', \'kiexepqrph\', \'rwtgsdfivp\', and \'uiiuwesoul\' were provided as placeholder names rather than specific data, this report utilizes illustrative, yet realistic, example data that adhere to the specified formats and leverage industry averages where appropriate. This approach allows for a demonstration of the detailed PCF analysis methodology.</w:t>
      </w:r>
    </w:p>
    <w:bookmarkStart w:id="27" w:name="Xa5f113066bdf20e6003d0f49d23564d737453a6"/>
    <w:p>
      <w:pPr>
        <w:pStyle w:val="Heading3"/>
      </w:pPr>
      <w:r>
        <w:t xml:space="preserve">Bill of Materials (BOM) Analysis (Illustrative Data)</w:t>
      </w:r>
    </w:p>
    <w:p>
      <w:pPr>
        <w:pStyle w:val="FirstParagraph"/>
      </w:pPr>
      <w:r>
        <w:t xml:space="preserve">The following illustrative Bill of Materials (BOM) for uqwjukxlie details the primary material inputs, their quantities, and associated cradle-to-gate emission factors, reflecting a "Europe Focused" supply chain for raw materials before final production in China.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 (Origin)</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(Illustrative kg CO2e)</w:t>
            </w:r>
          </w:p>
        </w:tc>
      </w:tr>
      <w:tr>
        <w:tc>
          <w:tcPr/>
          <w:p>
            <w:pPr>
              <w:pStyle w:val="Compact"/>
              <w:jc w:val="left"/>
            </w:pPr>
            <w:r>
              <w:t xml:space="preserve">MAT-001</w:t>
            </w:r>
          </w:p>
        </w:tc>
        <w:tc>
          <w:tcPr/>
          <w:p>
            <w:pPr>
              <w:pStyle w:val="Compact"/>
              <w:jc w:val="left"/>
            </w:pPr>
            <w:r>
              <w:t xml:space="preserve">Aluminum Alloy Sheet</w:t>
            </w:r>
          </w:p>
        </w:tc>
        <w:tc>
          <w:tcPr/>
          <w:p>
            <w:pPr>
              <w:pStyle w:val="Compact"/>
              <w:jc w:val="left"/>
            </w:pPr>
            <w:r>
              <w:t xml:space="preserve">Metal</w:t>
            </w:r>
          </w:p>
        </w:tc>
        <w:tc>
          <w:tcPr/>
          <w:p>
            <w:pPr>
              <w:pStyle w:val="Compact"/>
              <w:jc w:val="left"/>
            </w:pPr>
            <w:r>
              <w:t xml:space="preserve">Primary Production, Europe</w:t>
            </w:r>
          </w:p>
        </w:tc>
        <w:tc>
          <w:tcPr/>
          <w:p>
            <w:pPr>
              <w:pStyle w:val="Compact"/>
              <w:jc w:val="left"/>
            </w:pPr>
            <w:r>
              <w:t xml:space="preserve">2.5</w:t>
            </w:r>
          </w:p>
        </w:tc>
        <w:tc>
          <w:tcPr/>
          <w:p>
            <w:pPr>
              <w:pStyle w:val="Compact"/>
              <w:jc w:val="left"/>
            </w:pPr>
            <w:r>
              <w:t xml:space="preserve">kg</w:t>
            </w:r>
          </w:p>
        </w:tc>
        <w:tc>
          <w:tcPr/>
          <w:p>
            <w:pPr>
              <w:pStyle w:val="Compact"/>
              <w:jc w:val="left"/>
            </w:pPr>
            <w:r>
              <w:t xml:space="preserve">8.0</w:t>
            </w:r>
          </w:p>
        </w:tc>
        <w:tc>
          <w:tcPr/>
          <w:p>
            <w:pPr>
              <w:pStyle w:val="Compact"/>
              <w:jc w:val="left"/>
            </w:pPr>
            <w:r>
              <w:t xml:space="preserve">20.0</w:t>
            </w:r>
          </w:p>
        </w:tc>
      </w:tr>
      <w:tr>
        <w:tc>
          <w:tcPr/>
          <w:p>
            <w:pPr>
              <w:pStyle w:val="Compact"/>
              <w:jc w:val="left"/>
            </w:pPr>
            <w:r>
              <w:t xml:space="preserve">MAT-002</w:t>
            </w:r>
          </w:p>
        </w:tc>
        <w:tc>
          <w:tcPr/>
          <w:p>
            <w:pPr>
              <w:pStyle w:val="Compact"/>
              <w:jc w:val="left"/>
            </w:pPr>
            <w:r>
              <w:t xml:space="preserve">Recycled ABS Granules</w:t>
            </w:r>
          </w:p>
        </w:tc>
        <w:tc>
          <w:tcPr/>
          <w:p>
            <w:pPr>
              <w:pStyle w:val="Compact"/>
              <w:jc w:val="left"/>
            </w:pPr>
            <w:r>
              <w:t xml:space="preserve">Polymer</w:t>
            </w:r>
          </w:p>
        </w:tc>
        <w:tc>
          <w:tcPr/>
          <w:p>
            <w:pPr>
              <w:pStyle w:val="Compact"/>
              <w:jc w:val="left"/>
            </w:pPr>
            <w:r>
              <w:t xml:space="preserve">Recycling, Europe</w:t>
            </w:r>
          </w:p>
        </w:tc>
        <w:tc>
          <w:tcPr/>
          <w:p>
            <w:pPr>
              <w:pStyle w:val="Compact"/>
              <w:jc w:val="left"/>
            </w:pPr>
            <w:r>
              <w:t xml:space="preserve">1.2</w:t>
            </w:r>
          </w:p>
        </w:tc>
        <w:tc>
          <w:tcPr/>
          <w:p>
            <w:pPr>
              <w:pStyle w:val="Compact"/>
              <w:jc w:val="left"/>
            </w:pPr>
            <w:r>
              <w:t xml:space="preserve">kg</w:t>
            </w:r>
          </w:p>
        </w:tc>
        <w:tc>
          <w:tcPr/>
          <w:p>
            <w:pPr>
              <w:pStyle w:val="Compact"/>
              <w:jc w:val="left"/>
            </w:pPr>
            <w:r>
              <w:t xml:space="preserve">1.5</w:t>
            </w:r>
          </w:p>
        </w:tc>
        <w:tc>
          <w:tcPr/>
          <w:p>
            <w:pPr>
              <w:pStyle w:val="Compact"/>
              <w:jc w:val="left"/>
            </w:pPr>
            <w:r>
              <w:t xml:space="preserve">1.8</w:t>
            </w:r>
          </w:p>
        </w:tc>
      </w:tr>
      <w:tr>
        <w:tc>
          <w:tcPr/>
          <w:p>
            <w:pPr>
              <w:pStyle w:val="Compact"/>
              <w:jc w:val="left"/>
            </w:pPr>
            <w:r>
              <w:t xml:space="preserve">MAT-003</w:t>
            </w:r>
          </w:p>
        </w:tc>
        <w:tc>
          <w:tcPr/>
          <w:p>
            <w:pPr>
              <w:pStyle w:val="Compact"/>
              <w:jc w:val="left"/>
            </w:pPr>
            <w:r>
              <w:t xml:space="preserve">Semiconductor Chips</w:t>
            </w:r>
          </w:p>
        </w:tc>
        <w:tc>
          <w:tcPr/>
          <w:p>
            <w:pPr>
              <w:pStyle w:val="Compact"/>
              <w:jc w:val="left"/>
            </w:pPr>
            <w:r>
              <w:t xml:space="preserve">Electronics</w:t>
            </w:r>
          </w:p>
        </w:tc>
        <w:tc>
          <w:tcPr/>
          <w:p>
            <w:pPr>
              <w:pStyle w:val="Compact"/>
              <w:jc w:val="left"/>
            </w:pPr>
            <w:r>
              <w:t xml:space="preserve">Manufacturing, Asia</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Europe</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w:t>
            </w:r>
          </w:p>
        </w:tc>
      </w:tr>
    </w:tbl>
    <w:bookmarkEnd w:id="27"/>
    <w:bookmarkStart w:id="28" w:name="Xa4f53b4edbac1703db13bc7db1ae7457f84d9b6"/>
    <w:p>
      <w:pPr>
        <w:pStyle w:val="Heading3"/>
      </w:pPr>
      <w:r>
        <w:t xml:space="preserve">Production Energy Inputs (Illustrative Data)</w:t>
      </w:r>
    </w:p>
    <w:p>
      <w:pPr>
        <w:numPr>
          <w:ilvl w:val="0"/>
          <w:numId w:val="1005"/>
        </w:numPr>
        <w:pStyle w:val="Compact"/>
      </w:pPr>
      <w:r>
        <w:rPr>
          <w:bCs/>
          <w:b/>
        </w:rPr>
        <w:t xml:space="preserve">Renewable Energy Usage (at manufacturing facility in China):</w:t>
      </w:r>
      <w:r>
        <w:t xml:space="preserve"> </w:t>
      </w:r>
      <w:r>
        <w:t xml:space="preserve">60% (qvhnykdiup)</w:t>
      </w:r>
    </w:p>
    <w:p>
      <w:pPr>
        <w:numPr>
          <w:ilvl w:val="0"/>
          <w:numId w:val="1005"/>
        </w:numPr>
        <w:pStyle w:val="Compact"/>
      </w:pPr>
      <w:r>
        <w:rPr>
          <w:bCs/>
          <w:b/>
        </w:rPr>
        <w:t xml:space="preserve">Energy Intensity (Electricity consumption per unit):</w:t>
      </w:r>
      <w:r>
        <w:t xml:space="preserve"> </w:t>
      </w:r>
      <w:r>
        <w:t xml:space="preserve">20 kWh/unit (sjfgikwpgj)</w:t>
      </w:r>
    </w:p>
    <w:bookmarkEnd w:id="28"/>
    <w:bookmarkStart w:id="29" w:name="X252908fafdaeab4bbc1ead60c7f2cac76fcd96b"/>
    <w:p>
      <w:pPr>
        <w:pStyle w:val="Heading3"/>
      </w:pPr>
      <w:r>
        <w:t xml:space="preserve">Upstream Transportation Data (Illustrative Data to China Factory)</w:t>
      </w:r>
    </w:p>
    <w:p>
      <w:pPr>
        <w:pStyle w:val="FirstParagraph"/>
      </w:pPr>
      <w:r>
        <w:t xml:space="preserve">The transport mode for raw materials from Europe to the China factory is a combination of road freight and ocean freight. The product weight for transport calculations is assumed to be 4 kg (including primary packaging).</w:t>
      </w:r>
    </w:p>
    <w:p>
      <w:pPr>
        <w:numPr>
          <w:ilvl w:val="0"/>
          <w:numId w:val="1006"/>
        </w:numPr>
        <w:pStyle w:val="Compact"/>
      </w:pPr>
      <w:r>
        <w:rPr>
          <w:bCs/>
          <w:b/>
        </w:rPr>
        <w:t xml:space="preserve">Transport Mode:</w:t>
      </w:r>
      <w:r>
        <w:t xml:space="preserve"> </w:t>
      </w:r>
      <w:r>
        <w:t xml:space="preserve">Road Freight (HGV) + Ocean Freight</w:t>
      </w:r>
    </w:p>
    <w:p>
      <w:pPr>
        <w:numPr>
          <w:ilvl w:val="0"/>
          <w:numId w:val="1006"/>
        </w:numPr>
        <w:pStyle w:val="Compact"/>
      </w:pPr>
      <w:r>
        <w:rPr>
          <w:bCs/>
          <w:b/>
        </w:rPr>
        <w:t xml:space="preserve">Transport Distance (Upstream Europe to China factory):</w:t>
      </w:r>
    </w:p>
    <w:p>
      <w:pPr>
        <w:numPr>
          <w:ilvl w:val="1"/>
          <w:numId w:val="1007"/>
        </w:numPr>
        <w:pStyle w:val="Compact"/>
      </w:pPr>
      <w:r>
        <w:t xml:space="preserve">Road Freight (Europe): 1000 km</w:t>
      </w:r>
    </w:p>
    <w:p>
      <w:pPr>
        <w:numPr>
          <w:ilvl w:val="1"/>
          <w:numId w:val="1007"/>
        </w:numPr>
        <w:pStyle w:val="Compact"/>
      </w:pPr>
      <w:r>
        <w:t xml:space="preserve">Ocean Freight (Europe to China): 15000 km</w:t>
      </w:r>
    </w:p>
    <w:p>
      <w:pPr>
        <w:numPr>
          <w:ilvl w:val="1"/>
          <w:numId w:val="1007"/>
        </w:numPr>
        <w:pStyle w:val="Compact"/>
      </w:pPr>
      <w:r>
        <w:t xml:space="preserve">Road Freight (China, from port to factory): 200 km</w:t>
      </w:r>
    </w:p>
    <w:bookmarkEnd w:id="29"/>
    <w:bookmarkStart w:id="30" w:name="X30ab688df602f1974c0124b77f13a3ae8d0797d"/>
    <w:p>
      <w:pPr>
        <w:pStyle w:val="Heading3"/>
      </w:pPr>
      <w:r>
        <w:t xml:space="preserve">Use Phase Data (Illustrative Data - for full value chain perspective)</w:t>
      </w:r>
    </w:p>
    <w:p>
      <w:pPr>
        <w:numPr>
          <w:ilvl w:val="0"/>
          <w:numId w:val="1008"/>
        </w:numPr>
        <w:pStyle w:val="Compact"/>
      </w:pPr>
      <w:r>
        <w:rPr>
          <w:bCs/>
          <w:b/>
        </w:rPr>
        <w:t xml:space="preserve">Product Lifespan:</w:t>
      </w:r>
      <w:r>
        <w:t xml:space="preserve"> </w:t>
      </w:r>
      <w:r>
        <w:t xml:space="preserve">5 years (tvldvypuwu)</w:t>
      </w:r>
    </w:p>
    <w:p>
      <w:pPr>
        <w:numPr>
          <w:ilvl w:val="0"/>
          <w:numId w:val="1008"/>
        </w:numPr>
        <w:pStyle w:val="Compact"/>
      </w:pPr>
      <w:r>
        <w:rPr>
          <w:bCs/>
          <w:b/>
        </w:rPr>
        <w:t xml:space="preserve">Energy Consumption in Use:</w:t>
      </w:r>
      <w:r>
        <w:t xml:space="preserve"> </w:t>
      </w:r>
      <w:r>
        <w:t xml:space="preserve">10 kWh/year (kiexepqrph)</w:t>
      </w:r>
    </w:p>
    <w:bookmarkEnd w:id="30"/>
    <w:bookmarkStart w:id="31" w:name="X1050237d9e620abf1ff0de668c9ed5c03316e91"/>
    <w:p>
      <w:pPr>
        <w:pStyle w:val="Heading3"/>
      </w:pPr>
      <w:r>
        <w:t xml:space="preserve">End-of-Life (EoL) Scenarios (Illustrative Data - for full value chain perspective)</w:t>
      </w:r>
    </w:p>
    <w:p>
      <w:pPr>
        <w:numPr>
          <w:ilvl w:val="0"/>
          <w:numId w:val="1009"/>
        </w:numPr>
        <w:pStyle w:val="Compact"/>
      </w:pPr>
      <w:r>
        <w:rPr>
          <w:bCs/>
          <w:b/>
        </w:rPr>
        <w:t xml:space="preserve">Recyclability Percentage (by weight):</w:t>
      </w:r>
      <w:r>
        <w:t xml:space="preserve"> </w:t>
      </w:r>
      <w:r>
        <w:t xml:space="preserve">80% (rwtgsdfivp)</w:t>
      </w:r>
    </w:p>
    <w:p>
      <w:pPr>
        <w:numPr>
          <w:ilvl w:val="0"/>
          <w:numId w:val="1009"/>
        </w:numPr>
        <w:pStyle w:val="Compact"/>
      </w:pPr>
      <w:r>
        <w:rPr>
          <w:bCs/>
          <w:b/>
        </w:rPr>
        <w:t xml:space="preserve">Circular/Take-back Programs:</w:t>
      </w:r>
      <w:r>
        <w:t xml:space="preserve"> </w:t>
      </w:r>
      <w:r>
        <w:t xml:space="preserve">Yes, an established take-back program for key components (uiiuwesoul)</w:t>
      </w:r>
    </w:p>
    <w:p>
      <w:r>
        <w:pict>
          <v:rect style="width:0;height:1.5pt" o:hralign="center" o:hrstd="t" o:hr="t"/>
        </w:pict>
      </w:r>
    </w:p>
    <w:bookmarkEnd w:id="31"/>
    <w:bookmarkEnd w:id="32"/>
    <w:bookmarkStart w:id="40" w:name="Xdd1c2ba429305467bad58a0828410d9d0fce25c"/>
    <w:p>
      <w:pPr>
        <w:pStyle w:val="Heading2"/>
      </w:pPr>
      <w:r>
        <w:t xml:space="preserve">4. Emissions Calculation (Activity * Emission Factor = CO2e)</w:t>
      </w:r>
    </w:p>
    <w:p>
      <w:pPr>
        <w:pStyle w:val="FirstParagraph"/>
      </w:pPr>
      <w:r>
        <w:t xml:space="preserve">Emissions are calculated for each life cycle stage using illustrative activity data and industry-standard emission factors. The calculation categorizes emissions according to the GHG Protocol Scopes.</w:t>
      </w:r>
    </w:p>
    <w:bookmarkStart w:id="33" w:name="Xbd31f25ea3ae6ea4952bcb9bd30652b69bfa17e"/>
    <w:p>
      <w:pPr>
        <w:pStyle w:val="Heading3"/>
      </w:pPr>
      <w:r>
        <w:t xml:space="preserve">Overview of Illustrative Emission Factors Used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 (Illustrative)</w:t>
            </w:r>
          </w:p>
        </w:tc>
        <w:tc>
          <w:tcPr/>
          <w:p>
            <w:pPr>
              <w:pStyle w:val="Compact"/>
              <w:jc w:val="left"/>
            </w:pPr>
            <w:r>
              <w:t xml:space="preserve">Source (Illustrative/Avg)</w:t>
            </w:r>
          </w:p>
        </w:tc>
      </w:tr>
      <w:tr>
        <w:tc>
          <w:tcPr/>
          <w:p>
            <w:pPr>
              <w:pStyle w:val="Compact"/>
              <w:jc w:val="left"/>
            </w:pPr>
            <w:r>
              <w:t xml:space="preserve">Electricity (China Grid)</w:t>
            </w:r>
          </w:p>
        </w:tc>
        <w:tc>
          <w:tcPr/>
          <w:p>
            <w:pPr>
              <w:pStyle w:val="Compact"/>
              <w:jc w:val="left"/>
            </w:pPr>
            <w:r>
              <w:t xml:space="preserve">Electricity Consumption</w:t>
            </w:r>
          </w:p>
        </w:tc>
        <w:tc>
          <w:tcPr/>
          <w:p>
            <w:pPr>
              <w:pStyle w:val="Compact"/>
              <w:jc w:val="left"/>
            </w:pPr>
            <w:r>
              <w:t xml:space="preserve">0.58 kg CO2e/kWh</w:t>
            </w:r>
          </w:p>
        </w:tc>
        <w:tc>
          <w:tcPr/>
          <w:p>
            <w:pPr>
              <w:pStyle w:val="Compact"/>
              <w:jc w:val="left"/>
            </w:pPr>
            <w:r>
              <w:t xml:space="preserve">IEA/MEE Average for China</w:t>
            </w:r>
          </w:p>
        </w:tc>
      </w:tr>
      <w:tr>
        <w:tc>
          <w:tcPr/>
          <w:p>
            <w:pPr>
              <w:pStyle w:val="Compact"/>
              <w:jc w:val="left"/>
            </w:pPr>
            <w:r>
              <w:t xml:space="preserve">Electricity (Europe Grid)</w:t>
            </w:r>
          </w:p>
        </w:tc>
        <w:tc>
          <w:tcPr/>
          <w:p>
            <w:pPr>
              <w:pStyle w:val="Compact"/>
              <w:jc w:val="left"/>
            </w:pPr>
            <w:r>
              <w:t xml:space="preserve">Electricity Consumption</w:t>
            </w:r>
          </w:p>
        </w:tc>
        <w:tc>
          <w:tcPr/>
          <w:p>
            <w:pPr>
              <w:pStyle w:val="Compact"/>
              <w:jc w:val="left"/>
            </w:pPr>
            <w:r>
              <w:t xml:space="preserve">0.25 kg CO2e/kWh</w:t>
            </w:r>
          </w:p>
        </w:tc>
        <w:tc>
          <w:tcPr/>
          <w:p>
            <w:pPr>
              <w:pStyle w:val="Compact"/>
              <w:jc w:val="left"/>
            </w:pPr>
            <w:r>
              <w:t xml:space="preserve">Generic European Average</w:t>
            </w:r>
          </w:p>
        </w:tc>
      </w:tr>
      <w:tr>
        <w:tc>
          <w:tcPr/>
          <w:p>
            <w:pPr>
              <w:pStyle w:val="Compact"/>
              <w:jc w:val="left"/>
            </w:pPr>
            <w:r>
              <w:t xml:space="preserve">Road Freight (HGV)</w:t>
            </w:r>
          </w:p>
        </w:tc>
        <w:tc>
          <w:tcPr/>
          <w:p>
            <w:pPr>
              <w:pStyle w:val="Compact"/>
              <w:jc w:val="left"/>
            </w:pPr>
            <w:r>
              <w:t xml:space="preserve">Transportation (tonne-km)</w:t>
            </w:r>
          </w:p>
        </w:tc>
        <w:tc>
          <w:tcPr/>
          <w:p>
            <w:pPr>
              <w:pStyle w:val="Compact"/>
              <w:jc w:val="left"/>
            </w:pPr>
            <w:r>
              <w:t xml:space="preserve">0.1 kg CO2e/tonne-km</w:t>
            </w:r>
          </w:p>
        </w:tc>
        <w:tc>
          <w:tcPr/>
          <w:p>
            <w:pPr>
              <w:pStyle w:val="Compact"/>
              <w:jc w:val="left"/>
            </w:pPr>
            <w:r>
              <w:t xml:space="preserve">DEFRA/GHG Protocol Guidance Average</w:t>
            </w:r>
          </w:p>
        </w:tc>
      </w:tr>
      <w:tr>
        <w:tc>
          <w:tcPr/>
          <w:p>
            <w:pPr>
              <w:pStyle w:val="Compact"/>
              <w:jc w:val="left"/>
            </w:pPr>
            <w:r>
              <w:t xml:space="preserve">Ocean Freight</w:t>
            </w:r>
          </w:p>
        </w:tc>
        <w:tc>
          <w:tcPr/>
          <w:p>
            <w:pPr>
              <w:pStyle w:val="Compact"/>
              <w:jc w:val="left"/>
            </w:pPr>
            <w:r>
              <w:t xml:space="preserve">Transportation (tonne-km)</w:t>
            </w:r>
          </w:p>
        </w:tc>
        <w:tc>
          <w:tcPr/>
          <w:p>
            <w:pPr>
              <w:pStyle w:val="Compact"/>
              <w:jc w:val="left"/>
            </w:pPr>
            <w:r>
              <w:t xml:space="preserve">0.01 kg CO2e/tonne-km</w:t>
            </w:r>
          </w:p>
        </w:tc>
        <w:tc>
          <w:tcPr/>
          <w:p>
            <w:pPr>
              <w:pStyle w:val="Compact"/>
              <w:jc w:val="left"/>
            </w:pPr>
            <w:r>
              <w:t xml:space="preserve">Generic Industry Average</w:t>
            </w:r>
          </w:p>
        </w:tc>
      </w:tr>
      <w:tr>
        <w:tc>
          <w:tcPr/>
          <w:p>
            <w:pPr>
              <w:pStyle w:val="Compact"/>
              <w:jc w:val="left"/>
            </w:pPr>
            <w:r>
              <w:t xml:space="preserve">Parcel Delivery (Light Commercial)</w:t>
            </w:r>
          </w:p>
        </w:tc>
        <w:tc>
          <w:tcPr/>
          <w:p>
            <w:pPr>
              <w:pStyle w:val="Compact"/>
              <w:jc w:val="left"/>
            </w:pPr>
            <w:r>
              <w:t xml:space="preserve">Transportation (tonne-km)</w:t>
            </w:r>
          </w:p>
        </w:tc>
        <w:tc>
          <w:tcPr/>
          <w:p>
            <w:pPr>
              <w:pStyle w:val="Compact"/>
              <w:jc w:val="left"/>
            </w:pPr>
            <w:r>
              <w:t xml:space="preserve">0.2 kg CO2e/tonne-km</w:t>
            </w:r>
          </w:p>
        </w:tc>
        <w:tc>
          <w:tcPr/>
          <w:p>
            <w:pPr>
              <w:pStyle w:val="Compact"/>
              <w:jc w:val="left"/>
            </w:pPr>
            <w:r>
              <w:t xml:space="preserve">Higher end for last-mile delivery</w:t>
            </w:r>
          </w:p>
        </w:tc>
      </w:tr>
      <w:tr>
        <w:tc>
          <w:tcPr/>
          <w:p>
            <w:pPr>
              <w:pStyle w:val="Compact"/>
              <w:jc w:val="left"/>
            </w:pPr>
            <w:r>
              <w:t xml:space="preserve">Recycling Avoided Emissions</w:t>
            </w:r>
          </w:p>
        </w:tc>
        <w:tc>
          <w:tcPr/>
          <w:p>
            <w:pPr>
              <w:pStyle w:val="Compact"/>
              <w:jc w:val="left"/>
            </w:pPr>
            <w:r>
              <w:t xml:space="preserve">Material Recycling</w:t>
            </w:r>
          </w:p>
        </w:tc>
        <w:tc>
          <w:tcPr/>
          <w:p>
            <w:pPr>
              <w:pStyle w:val="Compact"/>
              <w:jc w:val="left"/>
            </w:pPr>
            <w:r>
              <w:t xml:space="preserve">-1.0 kg CO2e/kg</w:t>
            </w:r>
          </w:p>
        </w:tc>
        <w:tc>
          <w:tcPr/>
          <w:p>
            <w:pPr>
              <w:pStyle w:val="Compact"/>
              <w:jc w:val="left"/>
            </w:pPr>
            <w:r>
              <w:t xml:space="preserve">Illustrative average for mixed recyclables</w:t>
            </w:r>
          </w:p>
        </w:tc>
      </w:tr>
      <w:tr>
        <w:tc>
          <w:tcPr/>
          <w:p>
            <w:pPr>
              <w:pStyle w:val="Compact"/>
              <w:jc w:val="left"/>
            </w:pPr>
            <w:r>
              <w:t xml:space="preserve">Waste to Landfill</w:t>
            </w:r>
          </w:p>
        </w:tc>
        <w:tc>
          <w:tcPr/>
          <w:p>
            <w:pPr>
              <w:pStyle w:val="Compact"/>
              <w:jc w:val="left"/>
            </w:pPr>
            <w:r>
              <w:t xml:space="preserve">Material Disposal</w:t>
            </w:r>
          </w:p>
        </w:tc>
        <w:tc>
          <w:tcPr/>
          <w:p>
            <w:pPr>
              <w:pStyle w:val="Compact"/>
              <w:jc w:val="left"/>
            </w:pPr>
            <w:r>
              <w:t xml:space="preserve">0.5 kg CO2e/kg</w:t>
            </w:r>
          </w:p>
        </w:tc>
        <w:tc>
          <w:tcPr/>
          <w:p>
            <w:pPr>
              <w:pStyle w:val="Compact"/>
              <w:jc w:val="left"/>
            </w:pPr>
            <w:r>
              <w:t xml:space="preserve">Illustrative average for mixed waste</w:t>
            </w:r>
          </w:p>
        </w:tc>
      </w:tr>
    </w:tbl>
    <w:bookmarkEnd w:id="33"/>
    <w:bookmarkStart w:id="34" w:name="X057ce896d4a1f837cad62054593f6bf20c2c236"/>
    <w:p>
      <w:pPr>
        <w:pStyle w:val="Heading3"/>
      </w:pPr>
      <w:r>
        <w:t xml:space="preserve">Material Acquisition &amp; Processing (Scope 3, Category 1: Purchased Goods and Services)</w:t>
      </w:r>
    </w:p>
    <w:p>
      <w:pPr>
        <w:pStyle w:val="FirstParagraph"/>
      </w:pPr>
      <w:r>
        <w:t xml:space="preserve">This section quantifies emissions from the extraction, processing, and manufacturing of raw materials prior to their arrival at wfntywrwdf\'s production facility.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Quantity (Unit)</w:t>
            </w:r>
          </w:p>
        </w:tc>
        <w:tc>
          <w:tcPr/>
          <w:p>
            <w:pPr>
              <w:pStyle w:val="Compact"/>
              <w:jc w:val="left"/>
            </w:pPr>
            <w:r>
              <w:t xml:space="preserve">Emission Factor (kg CO2e/Unit)</w:t>
            </w:r>
          </w:p>
        </w:tc>
        <w:tc>
          <w:tcPr/>
          <w:p>
            <w:pPr>
              <w:pStyle w:val="Compact"/>
              <w:jc w:val="left"/>
            </w:pPr>
            <w:r>
              <w:t xml:space="preserve">Total Emissions (kg CO2e)</w:t>
            </w:r>
          </w:p>
        </w:tc>
      </w:tr>
      <w:tr>
        <w:tc>
          <w:tcPr/>
          <w:p>
            <w:pPr>
              <w:pStyle w:val="Compact"/>
              <w:jc w:val="left"/>
            </w:pPr>
            <w:r>
              <w:t xml:space="preserve">Aluminum Alloy Sheet</w:t>
            </w:r>
          </w:p>
        </w:tc>
        <w:tc>
          <w:tcPr/>
          <w:p>
            <w:pPr>
              <w:pStyle w:val="Compact"/>
              <w:jc w:val="left"/>
            </w:pPr>
            <w:r>
              <w:t xml:space="preserve">2.5 kg</w:t>
            </w:r>
          </w:p>
        </w:tc>
        <w:tc>
          <w:tcPr/>
          <w:p>
            <w:pPr>
              <w:pStyle w:val="Compact"/>
              <w:jc w:val="left"/>
            </w:pPr>
            <w:r>
              <w:t xml:space="preserve">8.0</w:t>
            </w:r>
          </w:p>
        </w:tc>
        <w:tc>
          <w:tcPr/>
          <w:p>
            <w:pPr>
              <w:pStyle w:val="Compact"/>
              <w:jc w:val="left"/>
            </w:pPr>
            <w:r>
              <w:t xml:space="preserve">20.0</w:t>
            </w:r>
          </w:p>
        </w:tc>
      </w:tr>
      <w:tr>
        <w:tc>
          <w:tcPr/>
          <w:p>
            <w:pPr>
              <w:pStyle w:val="Compact"/>
              <w:jc w:val="left"/>
            </w:pPr>
            <w:r>
              <w:t xml:space="preserve">Recycled ABS Granules</w:t>
            </w:r>
          </w:p>
        </w:tc>
        <w:tc>
          <w:tcPr/>
          <w:p>
            <w:pPr>
              <w:pStyle w:val="Compact"/>
              <w:jc w:val="left"/>
            </w:pPr>
            <w:r>
              <w:t xml:space="preserve">1.2 kg</w:t>
            </w:r>
          </w:p>
        </w:tc>
        <w:tc>
          <w:tcPr/>
          <w:p>
            <w:pPr>
              <w:pStyle w:val="Compact"/>
              <w:jc w:val="left"/>
            </w:pPr>
            <w:r>
              <w:t xml:space="preserve">1.5</w:t>
            </w:r>
          </w:p>
        </w:tc>
        <w:tc>
          <w:tcPr/>
          <w:p>
            <w:pPr>
              <w:pStyle w:val="Compact"/>
              <w:jc w:val="left"/>
            </w:pPr>
            <w:r>
              <w:t xml:space="preserve">1.8</w:t>
            </w:r>
          </w:p>
        </w:tc>
      </w:tr>
      <w:tr>
        <w:tc>
          <w:tcPr/>
          <w:p>
            <w:pPr>
              <w:pStyle w:val="Compact"/>
              <w:jc w:val="left"/>
            </w:pPr>
            <w:r>
              <w:t xml:space="preserve">Semiconductor Chips</w:t>
            </w:r>
          </w:p>
        </w:tc>
        <w:tc>
          <w:tcPr/>
          <w:p>
            <w:pPr>
              <w:pStyle w:val="Compact"/>
              <w:jc w:val="left"/>
            </w:pPr>
            <w:r>
              <w:t xml:space="preserve">0.05 kg</w:t>
            </w:r>
          </w:p>
        </w:tc>
        <w:tc>
          <w:tcPr/>
          <w:p>
            <w:pPr>
              <w:pStyle w:val="Compact"/>
              <w:jc w:val="left"/>
            </w:pPr>
            <w:r>
              <w:t xml:space="preserve">200.0</w:t>
            </w:r>
          </w:p>
        </w:tc>
        <w:tc>
          <w:tcPr/>
          <w:p>
            <w:pPr>
              <w:pStyle w:val="Compact"/>
              <w:jc w:val="left"/>
            </w:pPr>
            <w:r>
              <w:t xml:space="preserve">10.0</w:t>
            </w:r>
          </w:p>
        </w:tc>
      </w:tr>
      <w:tr>
        <w:tc>
          <w:tcPr/>
          <w:p>
            <w:pPr>
              <w:pStyle w:val="Compact"/>
              <w:jc w:val="left"/>
            </w:pPr>
            <w:r>
              <w:t xml:space="preserve">Packaging Cardboard</w:t>
            </w:r>
          </w:p>
        </w:tc>
        <w:tc>
          <w:tcPr/>
          <w:p>
            <w:pPr>
              <w:pStyle w:val="Compact"/>
              <w:jc w:val="left"/>
            </w:pPr>
            <w:r>
              <w:t xml:space="preserve">0.3 kg</w:t>
            </w:r>
          </w:p>
        </w:tc>
        <w:tc>
          <w:tcPr/>
          <w:p>
            <w:pPr>
              <w:pStyle w:val="Compact"/>
              <w:jc w:val="left"/>
            </w:pPr>
            <w:r>
              <w:t xml:space="preserve">1.0</w:t>
            </w:r>
          </w:p>
        </w:tc>
        <w:tc>
          <w:tcPr/>
          <w:p>
            <w:pPr>
              <w:pStyle w:val="Compact"/>
              <w:jc w:val="left"/>
            </w:pPr>
            <w:r>
              <w:t xml:space="preserve">0.3</w:t>
            </w:r>
          </w:p>
        </w:tc>
      </w:tr>
      <w:tr>
        <w:tc>
          <w:tcPr>
            <w:gridSpan w:val="3"/>
          </w:tcPr>
          <w:p>
            <w:pPr>
              <w:pStyle w:val="Compact"/>
              <w:jc w:val="right"/>
            </w:pPr>
            <w:r>
              <w:rPr>
                <w:bCs/>
                <w:b/>
              </w:rPr>
              <w:t xml:space="preserve">Subtotal Material Emissions:</w:t>
            </w:r>
          </w:p>
        </w:tc>
        <w:tc>
          <w:tcPr/>
          <w:p>
            <w:pPr>
              <w:pStyle w:val="Compact"/>
              <w:jc w:val="left"/>
            </w:pPr>
            <w:r>
              <w:rPr>
                <w:bCs/>
                <w:b/>
              </w:rPr>
              <w:t xml:space="preserve">32.1</w:t>
            </w:r>
          </w:p>
        </w:tc>
      </w:tr>
    </w:tbl>
    <w:bookmarkEnd w:id="34"/>
    <w:bookmarkStart w:id="35" w:name="Xf4ee7b31d33ff6ce2d2ad683dc527180eae0476"/>
    <w:p>
      <w:pPr>
        <w:pStyle w:val="Heading3"/>
      </w:pPr>
      <w:r>
        <w:t xml:space="preserve">Production Phase (Final Production in China)</w:t>
      </w:r>
    </w:p>
    <w:p>
      <w:pPr>
        <w:numPr>
          <w:ilvl w:val="0"/>
          <w:numId w:val="1010"/>
        </w:numPr>
        <w:pStyle w:val="Compact"/>
      </w:pPr>
      <w:r>
        <w:rPr>
          <w:bCs/>
          <w:b/>
        </w:rPr>
        <w:t xml:space="preserve">Scope 1 (Direct Emissions):</w:t>
      </w:r>
      <w:r>
        <w:t xml:space="preserve"> </w:t>
      </w:r>
      <w:r>
        <w:t xml:space="preserve">Assuming minor direct emissions from on-site fuel combustion or processes not directly tied to purchased electricity, an illustrative value of 0.1 kg CO2e/unit is used.</w:t>
      </w:r>
    </w:p>
    <w:p>
      <w:pPr>
        <w:numPr>
          <w:ilvl w:val="0"/>
          <w:numId w:val="1010"/>
        </w:numPr>
        <w:pStyle w:val="Compact"/>
      </w:pPr>
      <w:r>
        <w:rPr>
          <w:bCs/>
          <w:b/>
        </w:rPr>
        <w:t xml:space="preserve">Scope 2 (Purchased Electricity Emissions):</w:t>
      </w:r>
    </w:p>
    <w:p>
      <w:pPr>
        <w:numPr>
          <w:ilvl w:val="1"/>
          <w:numId w:val="1011"/>
        </w:numPr>
        <w:pStyle w:val="Compact"/>
      </w:pPr>
      <w:r>
        <w:t xml:space="preserve">Total Electricity Consumption: 20 kWh/unit</w:t>
      </w:r>
    </w:p>
    <w:p>
      <w:pPr>
        <w:numPr>
          <w:ilvl w:val="1"/>
          <w:numId w:val="1011"/>
        </w:numPr>
        <w:pStyle w:val="Compact"/>
      </w:pPr>
      <w:r>
        <w:t xml:space="preserve">Renewable Energy Usage: 60%</w:t>
      </w:r>
    </w:p>
    <w:p>
      <w:pPr>
        <w:numPr>
          <w:ilvl w:val="1"/>
          <w:numId w:val="1011"/>
        </w:numPr>
        <w:pStyle w:val="Compact"/>
      </w:pPr>
      <w:r>
        <w:t xml:space="preserve">Non-renewable Electricity: 20 kWh/unit * (1 - 0.60) = 8 kWh/unit</w:t>
      </w:r>
    </w:p>
    <w:p>
      <w:pPr>
        <w:numPr>
          <w:ilvl w:val="1"/>
          <w:numId w:val="1011"/>
        </w:numPr>
        <w:pStyle w:val="Compact"/>
      </w:pPr>
      <w:r>
        <w:t xml:space="preserve">China Grid Emission Factor: 0.58 kg CO2e/kWh</w:t>
      </w:r>
    </w:p>
    <w:p>
      <w:pPr>
        <w:numPr>
          <w:ilvl w:val="1"/>
          <w:numId w:val="1011"/>
        </w:numPr>
        <w:pStyle w:val="Compact"/>
      </w:pPr>
      <w:r>
        <w:t xml:space="preserve">Calculated Emissions: 8 kWh/unit * 0.58 kg CO2e/kWh = 4.64 kg CO2e/unit</w:t>
      </w:r>
    </w:p>
    <w:p>
      <w:pPr>
        <w:numPr>
          <w:ilvl w:val="0"/>
          <w:numId w:val="1010"/>
        </w:numPr>
        <w:pStyle w:val="Compact"/>
      </w:pPr>
      <w:r>
        <w:rPr>
          <w:bCs/>
          <w:b/>
        </w:rPr>
        <w:t xml:space="preserve">Subtotal Production Emissions:</w:t>
      </w:r>
      <w:r>
        <w:t xml:space="preserve"> </w:t>
      </w:r>
      <w:r>
        <w:t xml:space="preserve">0.1 (Scope 1) + 4.64 (Scope 2) =</w:t>
      </w:r>
      <w:r>
        <w:t xml:space="preserve"> </w:t>
      </w:r>
      <w:r>
        <w:rPr>
          <w:bCs/>
          <w:b/>
        </w:rPr>
        <w:t xml:space="preserve">4.74 kg CO2e</w:t>
      </w:r>
    </w:p>
    <w:bookmarkEnd w:id="35"/>
    <w:bookmarkStart w:id="36" w:name="X692a62282c02d531f8aac4484bce618d834c3be"/>
    <w:p>
      <w:pPr>
        <w:pStyle w:val="Heading3"/>
      </w:pPr>
      <w:r>
        <w:t xml:space="preserve">Upstream Transportation (Scope 3, Category 4: Upstream Transportation and Distribution)</w:t>
      </w:r>
    </w:p>
    <w:p>
      <w:pPr>
        <w:pStyle w:val="FirstParagraph"/>
      </w:pPr>
      <w:r>
        <w:t xml:space="preserve">Emissions from transporting raw materials (assumed product weight for transport: 4 kg) from Europe to the manufacturing facility in China.</w:t>
      </w:r>
    </w:p>
    <w:p>
      <w:pPr>
        <w:numPr>
          <w:ilvl w:val="0"/>
          <w:numId w:val="1012"/>
        </w:numPr>
        <w:pStyle w:val="Compact"/>
      </w:pPr>
      <w:r>
        <w:rPr>
          <w:bCs/>
          <w:b/>
        </w:rPr>
        <w:t xml:space="preserve">Road Freight (Europe):</w:t>
      </w:r>
      <w:r>
        <w:t xml:space="preserve"> </w:t>
      </w:r>
      <w:r>
        <w:t xml:space="preserve">0.004 tonne * 1000 km * 0.1 kg CO2e/tonne-km = 0.4 kg CO2e</w:t>
      </w:r>
    </w:p>
    <w:p>
      <w:pPr>
        <w:numPr>
          <w:ilvl w:val="0"/>
          <w:numId w:val="1012"/>
        </w:numPr>
        <w:pStyle w:val="Compact"/>
      </w:pPr>
      <w:r>
        <w:rPr>
          <w:bCs/>
          <w:b/>
        </w:rPr>
        <w:t xml:space="preserve">Ocean Freight (Europe to China):</w:t>
      </w:r>
      <w:r>
        <w:t xml:space="preserve"> </w:t>
      </w:r>
      <w:r>
        <w:t xml:space="preserve">0.004 tonne * 15000 km * 0.01 kg CO2e/tonne-km = 0.6 kg CO2e</w:t>
      </w:r>
    </w:p>
    <w:p>
      <w:pPr>
        <w:numPr>
          <w:ilvl w:val="0"/>
          <w:numId w:val="1012"/>
        </w:numPr>
        <w:pStyle w:val="Compact"/>
      </w:pPr>
      <w:r>
        <w:rPr>
          <w:bCs/>
          <w:b/>
        </w:rPr>
        <w:t xml:space="preserve">Road Freight (China, port to factory):</w:t>
      </w:r>
      <w:r>
        <w:t xml:space="preserve"> </w:t>
      </w:r>
      <w:r>
        <w:t xml:space="preserve">0.004 tonne * 200 km * 0.1 kg CO2e/tonne-km = 0.08 kg CO2e</w:t>
      </w:r>
    </w:p>
    <w:p>
      <w:pPr>
        <w:numPr>
          <w:ilvl w:val="0"/>
          <w:numId w:val="1012"/>
        </w:numPr>
        <w:pStyle w:val="Compact"/>
      </w:pPr>
      <w:r>
        <w:rPr>
          <w:bCs/>
          <w:b/>
        </w:rPr>
        <w:t xml:space="preserve">Subtotal Upstream Transportation Emissions:</w:t>
      </w:r>
      <w:r>
        <w:t xml:space="preserve"> </w:t>
      </w:r>
      <w:r>
        <w:t xml:space="preserve">0.4 + 0.6 + 0.08 =</w:t>
      </w:r>
      <w:r>
        <w:t xml:space="preserve"> </w:t>
      </w:r>
      <w:r>
        <w:rPr>
          <w:bCs/>
          <w:b/>
        </w:rPr>
        <w:t xml:space="preserve">1.08 kg CO2e</w:t>
      </w:r>
    </w:p>
    <w:bookmarkEnd w:id="36"/>
    <w:bookmarkStart w:id="37" w:name="X766bba7b731d7a8b777b169ec3746a248b02a6f"/>
    <w:p>
      <w:pPr>
        <w:pStyle w:val="Heading3"/>
      </w:pPr>
      <w:r>
        <w:t xml:space="preserve">Use Phase (Scope 3, Category 11: Use of Sold Products - Illustrative for Full Value Chain)</w:t>
      </w:r>
    </w:p>
    <w:p>
      <w:pPr>
        <w:pStyle w:val="FirstParagraph"/>
      </w:pPr>
      <w:r>
        <w:t xml:space="preserve">This section covers emissions generated during the product\'s lifespan. While typically beyond a "factory_gate" PCF boundary, it is critical for a full value chain understanding.</w:t>
      </w:r>
    </w:p>
    <w:p>
      <w:pPr>
        <w:numPr>
          <w:ilvl w:val="0"/>
          <w:numId w:val="1013"/>
        </w:numPr>
        <w:pStyle w:val="Compact"/>
      </w:pPr>
      <w:r>
        <w:rPr>
          <w:bCs/>
          <w:b/>
        </w:rPr>
        <w:t xml:space="preserve">Product Lifespan:</w:t>
      </w:r>
      <w:r>
        <w:t xml:space="preserve"> </w:t>
      </w:r>
      <w:r>
        <w:t xml:space="preserve">5 years</w:t>
      </w:r>
    </w:p>
    <w:p>
      <w:pPr>
        <w:numPr>
          <w:ilvl w:val="0"/>
          <w:numId w:val="1013"/>
        </w:numPr>
        <w:pStyle w:val="Compact"/>
      </w:pPr>
      <w:r>
        <w:rPr>
          <w:bCs/>
          <w:b/>
        </w:rPr>
        <w:t xml:space="preserve">Energy Consumption in Use:</w:t>
      </w:r>
      <w:r>
        <w:t xml:space="preserve"> </w:t>
      </w:r>
      <w:r>
        <w:t xml:space="preserve">10 kWh/year</w:t>
      </w:r>
    </w:p>
    <w:p>
      <w:pPr>
        <w:numPr>
          <w:ilvl w:val="0"/>
          <w:numId w:val="1013"/>
        </w:numPr>
        <w:pStyle w:val="Compact"/>
      </w:pPr>
      <w:r>
        <w:rPr>
          <w:bCs/>
          <w:b/>
        </w:rPr>
        <w:t xml:space="preserve">Total Energy Consumption:</w:t>
      </w:r>
      <w:r>
        <w:t xml:space="preserve"> </w:t>
      </w:r>
      <w:r>
        <w:t xml:space="preserve">10 kWh/year * 5 years = 50 kWh</w:t>
      </w:r>
    </w:p>
    <w:p>
      <w:pPr>
        <w:numPr>
          <w:ilvl w:val="0"/>
          <w:numId w:val="1013"/>
        </w:numPr>
        <w:pStyle w:val="Compact"/>
      </w:pPr>
      <w:r>
        <w:rPr>
          <w:bCs/>
          <w:b/>
        </w:rPr>
        <w:t xml:space="preserve">Average European Grid Emission Factor (Illustrative for use location):</w:t>
      </w:r>
      <w:r>
        <w:t xml:space="preserve"> </w:t>
      </w:r>
      <w:r>
        <w:t xml:space="preserve">0.25 kg CO2e/kWh</w:t>
      </w:r>
    </w:p>
    <w:p>
      <w:pPr>
        <w:numPr>
          <w:ilvl w:val="0"/>
          <w:numId w:val="1013"/>
        </w:numPr>
        <w:pStyle w:val="Compact"/>
      </w:pPr>
      <w:r>
        <w:rPr>
          <w:bCs/>
          <w:b/>
        </w:rPr>
        <w:t xml:space="preserve">Calculated Emissions:</w:t>
      </w:r>
      <w:r>
        <w:t xml:space="preserve"> </w:t>
      </w:r>
      <w:r>
        <w:t xml:space="preserve">50 kWh * 0.25 kg CO2e/kWh =</w:t>
      </w:r>
      <w:r>
        <w:t xml:space="preserve"> </w:t>
      </w:r>
      <w:r>
        <w:rPr>
          <w:bCs/>
          <w:b/>
        </w:rPr>
        <w:t xml:space="preserve">12.5 kg CO2e</w:t>
      </w:r>
    </w:p>
    <w:bookmarkEnd w:id="37"/>
    <w:bookmarkStart w:id="38" w:name="Xd7ecfa227d89c040a7cf8be102dfaf486c4c4d0"/>
    <w:p>
      <w:pPr>
        <w:pStyle w:val="Heading3"/>
      </w:pPr>
      <w:r>
        <w:t xml:space="preserve">End-of-Life (EoL) (Scope 3, Category 12: End-of-Life Treatment of Sold Products - Illustrative for Full Value Chain)</w:t>
      </w:r>
    </w:p>
    <w:p>
      <w:pPr>
        <w:pStyle w:val="FirstParagraph"/>
      </w:pPr>
      <w:r>
        <w:t xml:space="preserve">This section considers emissions and avoided emissions from the product\'s disposal and recycling, including the impact of circular programs.</w:t>
      </w:r>
    </w:p>
    <w:p>
      <w:pPr>
        <w:numPr>
          <w:ilvl w:val="0"/>
          <w:numId w:val="1014"/>
        </w:numPr>
        <w:pStyle w:val="Compact"/>
      </w:pPr>
      <w:r>
        <w:rPr>
          <w:bCs/>
          <w:b/>
        </w:rPr>
        <w:t xml:space="preserve">Product Weight:</w:t>
      </w:r>
      <w:r>
        <w:t xml:space="preserve"> </w:t>
      </w:r>
      <w:r>
        <w:t xml:space="preserve">4 kg</w:t>
      </w:r>
    </w:p>
    <w:p>
      <w:pPr>
        <w:numPr>
          <w:ilvl w:val="0"/>
          <w:numId w:val="1014"/>
        </w:numPr>
        <w:pStyle w:val="Compact"/>
      </w:pPr>
      <w:r>
        <w:rPr>
          <w:bCs/>
          <w:b/>
        </w:rPr>
        <w:t xml:space="preserve">Recyclability Percentage:</w:t>
      </w:r>
      <w:r>
        <w:t xml:space="preserve"> </w:t>
      </w:r>
      <w:r>
        <w:t xml:space="preserve">80% (3.2 kg recycled)</w:t>
      </w:r>
    </w:p>
    <w:p>
      <w:pPr>
        <w:numPr>
          <w:ilvl w:val="0"/>
          <w:numId w:val="1014"/>
        </w:numPr>
        <w:pStyle w:val="Compact"/>
      </w:pPr>
      <w:r>
        <w:rPr>
          <w:bCs/>
          <w:b/>
        </w:rPr>
        <w:t xml:space="preserve">Emissions from Non-recycled Waste (20%):</w:t>
      </w:r>
      <w:r>
        <w:t xml:space="preserve"> </w:t>
      </w:r>
      <w:r>
        <w:t xml:space="preserve">0.8 kg * 0.5 kg CO2e/kg (landfill EF) = 0.4 kg CO2e</w:t>
      </w:r>
    </w:p>
    <w:p>
      <w:pPr>
        <w:numPr>
          <w:ilvl w:val="0"/>
          <w:numId w:val="1014"/>
        </w:numPr>
        <w:pStyle w:val="Compact"/>
      </w:pPr>
      <w:r>
        <w:rPr>
          <w:bCs/>
          <w:b/>
        </w:rPr>
        <w:t xml:space="preserve">Avoided Emissions from Recycling:</w:t>
      </w:r>
      <w:r>
        <w:t xml:space="preserve"> </w:t>
      </w:r>
      <w:r>
        <w:t xml:space="preserve">3.2 kg * (-1.0 kg CO2e/kg) = -3.2 kg CO2e</w:t>
      </w:r>
    </w:p>
    <w:p>
      <w:pPr>
        <w:numPr>
          <w:ilvl w:val="0"/>
          <w:numId w:val="1014"/>
        </w:numPr>
        <w:pStyle w:val="Compact"/>
      </w:pPr>
      <w:r>
        <w:rPr>
          <w:bCs/>
          <w:b/>
        </w:rPr>
        <w:t xml:space="preserve">Circular/Take-back Programs:</w:t>
      </w:r>
      <w:r>
        <w:t xml:space="preserve"> </w:t>
      </w:r>
      <w:r>
        <w:t xml:space="preserve">Existence of programs helps maximize recyclability and minimizes leakage.</w:t>
      </w:r>
    </w:p>
    <w:p>
      <w:pPr>
        <w:numPr>
          <w:ilvl w:val="0"/>
          <w:numId w:val="1014"/>
        </w:numPr>
        <w:pStyle w:val="Compact"/>
      </w:pPr>
      <w:r>
        <w:rPr>
          <w:bCs/>
          <w:b/>
        </w:rPr>
        <w:t xml:space="preserve">Subtotal End-of-Life Emissions:</w:t>
      </w:r>
      <w:r>
        <w:t xml:space="preserve"> </w:t>
      </w:r>
      <w:r>
        <w:t xml:space="preserve">0.4 - 3.2 =</w:t>
      </w:r>
      <w:r>
        <w:t xml:space="preserve"> </w:t>
      </w:r>
      <w:r>
        <w:rPr>
          <w:bCs/>
          <w:b/>
        </w:rPr>
        <w:t xml:space="preserve">-2.8 kg CO2e</w:t>
      </w:r>
      <w:r>
        <w:t xml:space="preserve"> </w:t>
      </w:r>
      <w:r>
        <w:t xml:space="preserve">(Net credit)</w:t>
      </w:r>
    </w:p>
    <w:bookmarkEnd w:id="38"/>
    <w:bookmarkStart w:id="39" w:name="Xc3827dbab6ab80d88bfcad0ba66e666d51724e8"/>
    <w:p>
      <w:pPr>
        <w:pStyle w:val="Heading3"/>
      </w:pPr>
      <w:r>
        <w:t xml:space="preserve">Downstream Transportation (Scope 3, Category 9: Downstream Transportation and Distribution - Illustrative for Full Value Chain)</w:t>
      </w:r>
    </w:p>
    <w:p>
      <w:pPr>
        <w:pStyle w:val="FirstParagraph"/>
      </w:pPr>
      <w:r>
        <w:t xml:space="preserve">This section quantifies emissions from transporting the finished product from the factory gate to distribution centers and to the end-consumer.</w:t>
      </w:r>
    </w:p>
    <w:p>
      <w:pPr>
        <w:numPr>
          <w:ilvl w:val="0"/>
          <w:numId w:val="1015"/>
        </w:numPr>
        <w:pStyle w:val="Compact"/>
      </w:pPr>
      <w:r>
        <w:rPr>
          <w:bCs/>
          <w:b/>
        </w:rPr>
        <w:t xml:space="preserve">Road from factory to distribution center (China):</w:t>
      </w:r>
      <w:r>
        <w:t xml:space="preserve"> </w:t>
      </w:r>
      <w:r>
        <w:t xml:space="preserve">0.004 tonne * 500 km * 0.1 kg CO2e/tonne-km = 0.2 kg CO2e</w:t>
      </w:r>
    </w:p>
    <w:p>
      <w:pPr>
        <w:numPr>
          <w:ilvl w:val="0"/>
          <w:numId w:val="1015"/>
        </w:numPr>
        <w:pStyle w:val="Compact"/>
      </w:pPr>
      <w:r>
        <w:rPr>
          <w:bCs/>
          <w:b/>
        </w:rPr>
        <w:t xml:space="preserve">Last-Mile Delivery (Europe):</w:t>
      </w:r>
      <w:r>
        <w:t xml:space="preserve"> </w:t>
      </w:r>
      <w:r>
        <w:t xml:space="preserve">0.004 tonne * 500 km * 0.2 kg CO2e/tonne-km (parcel delivery EF) = 0.4 kg CO2e</w:t>
      </w:r>
    </w:p>
    <w:p>
      <w:pPr>
        <w:numPr>
          <w:ilvl w:val="0"/>
          <w:numId w:val="1015"/>
        </w:numPr>
        <w:pStyle w:val="Compact"/>
      </w:pPr>
      <w:r>
        <w:rPr>
          <w:bCs/>
          <w:b/>
        </w:rPr>
        <w:t xml:space="preserve">Subtotal Downstream Transportation Emissions:</w:t>
      </w:r>
      <w:r>
        <w:t xml:space="preserve"> </w:t>
      </w:r>
      <w:r>
        <w:t xml:space="preserve">0.2 + 0.4 =</w:t>
      </w:r>
      <w:r>
        <w:t xml:space="preserve"> </w:t>
      </w:r>
      <w:r>
        <w:rPr>
          <w:bCs/>
          <w:b/>
        </w:rPr>
        <w:t xml:space="preserve">0.6 kg CO2e</w:t>
      </w:r>
    </w:p>
    <w:p>
      <w:r>
        <w:pict>
          <v:rect style="width:0;height:1.5pt" o:hralign="center" o:hrstd="t" o:hr="t"/>
        </w:pict>
      </w:r>
    </w:p>
    <w:bookmarkEnd w:id="39"/>
    <w:bookmarkEnd w:id="40"/>
    <w:bookmarkStart w:id="41" w:name="X5b59c127799c32a7ba362bd5604bc5d7f7551e3"/>
    <w:p>
      <w:pPr>
        <w:pStyle w:val="Heading2"/>
      </w:pPr>
      <w:r>
        <w:t xml:space="preserve">Product Carbon Footprint Summary (Factory Gate - Cradle-to-Gate)</w:t>
      </w:r>
    </w:p>
    <w:p>
      <w:pPr>
        <w:pStyle w:val="FirstParagraph"/>
      </w:pPr>
      <w:r>
        <w:t xml:space="preserve">The following table summarizes the Product Carbon Footprint of uqwjukxlie up to the factory gate (cradle-to-gate), categorized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c>
          <w:tcPr/>
          <w:p>
            <w:pPr>
              <w:pStyle w:val="Compact"/>
              <w:jc w:val="left"/>
            </w:pPr>
            <w:r>
              <w:t xml:space="preserve">Percentage of PCF</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32.10</w:t>
            </w:r>
          </w:p>
        </w:tc>
        <w:tc>
          <w:tcPr/>
          <w:p>
            <w:pPr>
              <w:pStyle w:val="Compact"/>
              <w:jc w:val="left"/>
            </w:pPr>
            <w:r>
              <w:t xml:space="preserve">84.65%</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0.10</w:t>
            </w:r>
          </w:p>
        </w:tc>
        <w:tc>
          <w:tcPr/>
          <w:p>
            <w:pPr>
              <w:pStyle w:val="Compact"/>
              <w:jc w:val="left"/>
            </w:pPr>
            <w:r>
              <w:t xml:space="preserve">0.26%</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4.64</w:t>
            </w:r>
          </w:p>
        </w:tc>
        <w:tc>
          <w:tcPr/>
          <w:p>
            <w:pPr>
              <w:pStyle w:val="Compact"/>
              <w:jc w:val="left"/>
            </w:pPr>
            <w:r>
              <w:t xml:space="preserve">12.24%</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1.08</w:t>
            </w:r>
          </w:p>
        </w:tc>
        <w:tc>
          <w:tcPr/>
          <w:p>
            <w:pPr>
              <w:pStyle w:val="Compact"/>
              <w:jc w:val="left"/>
            </w:pPr>
            <w:r>
              <w:t xml:space="preserve">2.85%</w:t>
            </w:r>
          </w:p>
        </w:tc>
      </w:tr>
      <w:tr>
        <w:tc>
          <w:tcPr>
            <w:gridSpan w:val="2"/>
          </w:tcPr>
          <w:p>
            <w:pPr>
              <w:pStyle w:val="Compact"/>
              <w:jc w:val="right"/>
            </w:pPr>
            <w:r>
              <w:rPr>
                <w:bCs/>
                <w:b/>
              </w:rPr>
              <w:t xml:space="preserve">TOTAL PCF (Factory Gate):</w:t>
            </w:r>
          </w:p>
        </w:tc>
        <w:tc>
          <w:tcPr/>
          <w:p>
            <w:pPr>
              <w:pStyle w:val="Compact"/>
              <w:jc w:val="left"/>
            </w:pPr>
            <w:r>
              <w:rPr>
                <w:bCs/>
                <w:b/>
              </w:rPr>
              <w:t xml:space="preserve">37.92</w:t>
            </w:r>
          </w:p>
        </w:tc>
        <w:tc>
          <w:tcPr/>
          <w:p>
            <w:pPr>
              <w:pStyle w:val="Compact"/>
              <w:jc w:val="left"/>
            </w:pPr>
            <w:r>
              <w:rPr>
                <w:bCs/>
                <w:b/>
              </w:rPr>
              <w:t xml:space="preserve">100.00%</w:t>
            </w:r>
          </w:p>
        </w:tc>
      </w:tr>
    </w:tbl>
    <w:bookmarkEnd w:id="41"/>
    <w:bookmarkStart w:id="42" w:name="Xa5580de92a80139772087ee169c55625701e536"/>
    <w:p>
      <w:pPr>
        <w:pStyle w:val="Heading2"/>
      </w:pPr>
      <w:r>
        <w:t xml:space="preserve">Illustrative Full Value Chain Carbon Footprint (Cradle-to-Grave)</w:t>
      </w:r>
    </w:p>
    <w:p>
      <w:pPr>
        <w:pStyle w:val="FirstParagraph"/>
      </w:pPr>
      <w:r>
        <w:t xml:space="preserve">For a comprehensive understanding of the product\'s total environmental impact, the following table presents an illustrative full value chain (cradle-to-grave) footprint.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c>
          <w:tcPr/>
          <w:p>
            <w:pPr>
              <w:pStyle w:val="Compact"/>
              <w:jc w:val="left"/>
            </w:pPr>
            <w:r>
              <w:t xml:space="preserve">Percentage of Full Value Chain</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32.10</w:t>
            </w:r>
          </w:p>
        </w:tc>
        <w:tc>
          <w:tcPr/>
          <w:p>
            <w:pPr>
              <w:pStyle w:val="Compact"/>
              <w:jc w:val="left"/>
            </w:pPr>
            <w:r>
              <w:t xml:space="preserve">66.57%</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0.10</w:t>
            </w:r>
          </w:p>
        </w:tc>
        <w:tc>
          <w:tcPr/>
          <w:p>
            <w:pPr>
              <w:pStyle w:val="Compact"/>
              <w:jc w:val="left"/>
            </w:pPr>
            <w:r>
              <w:t xml:space="preserve">0.21%</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4.64</w:t>
            </w:r>
          </w:p>
        </w:tc>
        <w:tc>
          <w:tcPr/>
          <w:p>
            <w:pPr>
              <w:pStyle w:val="Compact"/>
              <w:jc w:val="left"/>
            </w:pPr>
            <w:r>
              <w:t xml:space="preserve">9.62%</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1.08</w:t>
            </w:r>
          </w:p>
        </w:tc>
        <w:tc>
          <w:tcPr/>
          <w:p>
            <w:pPr>
              <w:pStyle w:val="Compact"/>
              <w:jc w:val="left"/>
            </w:pPr>
            <w:r>
              <w:t xml:space="preserve">2.24%</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c>
          <w:tcPr/>
          <w:p>
            <w:pPr>
              <w:pStyle w:val="Compact"/>
              <w:jc w:val="left"/>
            </w:pPr>
            <w:r>
              <w:t xml:space="preserve">25.92%</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-2.80</w:t>
            </w:r>
          </w:p>
        </w:tc>
        <w:tc>
          <w:tcPr/>
          <w:p>
            <w:pPr>
              <w:pStyle w:val="Compact"/>
              <w:jc w:val="left"/>
            </w:pPr>
            <w:r>
              <w:t xml:space="preserve">-5.81%</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0.60</w:t>
            </w:r>
          </w:p>
        </w:tc>
        <w:tc>
          <w:tcPr/>
          <w:p>
            <w:pPr>
              <w:pStyle w:val="Compact"/>
              <w:jc w:val="left"/>
            </w:pPr>
            <w:r>
              <w:t xml:space="preserve">1.24%</w:t>
            </w:r>
          </w:p>
        </w:tc>
      </w:tr>
      <w:tr>
        <w:tc>
          <w:tcPr>
            <w:gridSpan w:val="2"/>
          </w:tcPr>
          <w:p>
            <w:pPr>
              <w:pStyle w:val="Compact"/>
              <w:jc w:val="right"/>
            </w:pPr>
            <w:r>
              <w:rPr>
                <w:bCs/>
                <w:b/>
              </w:rPr>
              <w:t xml:space="preserve">TOTAL Full Value Chain PCF:</w:t>
            </w:r>
          </w:p>
        </w:tc>
        <w:tc>
          <w:tcPr/>
          <w:p>
            <w:pPr>
              <w:pStyle w:val="Compact"/>
              <w:jc w:val="left"/>
            </w:pPr>
            <w:r>
              <w:rPr>
                <w:bCs/>
                <w:b/>
              </w:rPr>
              <w:t xml:space="preserve">48.22</w:t>
            </w:r>
          </w:p>
        </w:tc>
        <w:tc>
          <w:tcPr/>
          <w:p>
            <w:pPr>
              <w:pStyle w:val="Compact"/>
              <w:jc w:val="left"/>
            </w:pPr>
            <w:r>
              <w:rPr>
                <w:bCs/>
                <w:b/>
              </w:rPr>
              <w:t xml:space="preserve">100.00%</w:t>
            </w:r>
          </w:p>
        </w:tc>
      </w:tr>
    </w:tbl>
    <w:p>
      <w:r>
        <w:pict>
          <v:rect style="width:0;height:1.5pt" o:hralign="center" o:hrstd="t" o:hr="t"/>
        </w:pict>
      </w:r>
    </w:p>
    <w:bookmarkEnd w:id="42"/>
    <w:bookmarkStart w:id="46" w:name="review-report"/>
    <w:p>
      <w:pPr>
        <w:pStyle w:val="Heading2"/>
      </w:pPr>
      <w:r>
        <w:t xml:space="preserve">5. Review &amp; Report</w:t>
      </w:r>
    </w:p>
    <w:bookmarkStart w:id="43" w:name="hotspot-analysis"/>
    <w:p>
      <w:pPr>
        <w:pStyle w:val="Heading3"/>
      </w:pPr>
      <w:r>
        <w:t xml:space="preserve">Hotspot Analysis</w:t>
      </w:r>
    </w:p>
    <w:p>
      <w:pPr>
        <w:pStyle w:val="FirstParagraph"/>
      </w:pPr>
      <w:r>
        <w:t xml:space="preserve">Based on the illustrative calculations, the primary emission hotspots for uqwjukxlie are:</w:t>
      </w:r>
    </w:p>
    <w:p>
      <w:pPr>
        <w:numPr>
          <w:ilvl w:val="0"/>
          <w:numId w:val="1016"/>
        </w:numPr>
        <w:pStyle w:val="Compact"/>
      </w:pPr>
      <w:r>
        <w:rPr>
          <w:bCs/>
          <w:b/>
        </w:rPr>
        <w:t xml:space="preserve">Material Acquisition &amp; Processing (Scope 3 - Upstream):</w:t>
      </w:r>
      <w:r>
        <w:t xml:space="preserve"> </w:t>
      </w:r>
      <w:r>
        <w:t xml:space="preserve">This stage accounts for the largest portion of the cradle-to-gate PCF (84.65%) and a significant portion of the full value chain footprint (66.57%). The high impact of primary aluminum and semiconductor manufacturing suggests these are critical areas for intervention.</w:t>
      </w:r>
    </w:p>
    <w:p>
      <w:pPr>
        <w:numPr>
          <w:ilvl w:val="0"/>
          <w:numId w:val="1016"/>
        </w:numPr>
        <w:pStyle w:val="Compact"/>
      </w:pPr>
      <w:r>
        <w:rPr>
          <w:bCs/>
          <w:b/>
        </w:rPr>
        <w:t xml:space="preserve">Use Phase (Scope 3 - Downstream):</w:t>
      </w:r>
      <w:r>
        <w:t xml:space="preserve"> </w:t>
      </w:r>
      <w:r>
        <w:t xml:space="preserve">When considering the full value chain, the energy consumption during the 5-year product lifespan becomes a major hotspot, contributing 25.92% to the total. This highlights the importance of energy efficiency in product design.</w:t>
      </w:r>
    </w:p>
    <w:p>
      <w:pPr>
        <w:numPr>
          <w:ilvl w:val="0"/>
          <w:numId w:val="1016"/>
        </w:numPr>
        <w:pStyle w:val="Compact"/>
      </w:pPr>
      <w:r>
        <w:rPr>
          <w:bCs/>
          <w:b/>
        </w:rPr>
        <w:t xml:space="preserve">Manufacturing Energy (Scope 2):</w:t>
      </w:r>
      <w:r>
        <w:t xml:space="preserve"> </w:t>
      </w:r>
      <w:r>
        <w:t xml:space="preserve">Although lower than materials, purchased electricity for manufacturing contributes a notable 12.24% to the factory-gate PCF. The company\'s 60% renewable energy usage helps mitigate this, but further decarbonization of the remaining grid electricity remains an opportunity.</w:t>
      </w:r>
    </w:p>
    <w:p>
      <w:pPr>
        <w:numPr>
          <w:ilvl w:val="0"/>
          <w:numId w:val="1016"/>
        </w:numPr>
        <w:pStyle w:val="Compact"/>
      </w:pPr>
      <w:r>
        <w:rPr>
          <w:bCs/>
          <w:b/>
        </w:rPr>
        <w:t xml:space="preserve">End-of-Life (Scope 3 - Downstream):</w:t>
      </w:r>
      <w:r>
        <w:t xml:space="preserve"> </w:t>
      </w:r>
      <w:r>
        <w:t xml:space="preserve">The high recyclability (80%) and the presence of circular/take-back programs result in a net carbon credit, indicating effective waste management strategies. This credit offsets some of the upstream emissions.</w:t>
      </w:r>
    </w:p>
    <w:bookmarkEnd w:id="43"/>
    <w:bookmarkStart w:id="44" w:name="reliability-and-limitations"/>
    <w:p>
      <w:pPr>
        <w:pStyle w:val="Heading3"/>
      </w:pPr>
      <w:r>
        <w:t xml:space="preserve">Reliability and Limitations</w:t>
      </w:r>
    </w:p>
    <w:p>
      <w:pPr>
        <w:pStyle w:val="FirstParagraph"/>
      </w:pPr>
      <w:r>
        <w:t xml:space="preserve">The reliability of this report\'s quantitative results is directly tied to the data inputs. As explicitly stated, due to the placeholder nature of the provided parameters (e.g., \'whfhojjy\', \'wgxvpiohzd\'), this analysis relies on illustrative, yet carefully chosen, example data and generic industry average emission factors. While this demonstrates the methodology effectively, actual emission figures would require specific, primary activity data for all stages of uqwjukxlie\'s lifecycle.</w:t>
      </w:r>
    </w:p>
    <w:p>
      <w:pPr>
        <w:pStyle w:val="BodyText"/>
      </w:pPr>
      <w:r>
        <w:t xml:space="preserve">The 95% Scope 3 coverage target, as outlined in the 2026 GHG Protocol updates, emphasizes the need for comprehensive data. For a real-world scenario, significant efforts in supplier engagement and primary data collection would be critical to meet this stringent requirement. The application of the 2026 LSR Standard would also require a detailed assessment of any land-based impacts within the value chain, which for a manufactured product like uqwjukxlie, would likely reside in the raw material extraction and processing stages.</w:t>
      </w:r>
    </w:p>
    <w:bookmarkEnd w:id="44"/>
    <w:bookmarkStart w:id="45" w:name="recommendations"/>
    <w:p>
      <w:pPr>
        <w:pStyle w:val="Heading3"/>
      </w:pPr>
      <w:r>
        <w:t xml:space="preserve">Recommendations</w:t>
      </w:r>
    </w:p>
    <w:p>
      <w:pPr>
        <w:pStyle w:val="FirstParagraph"/>
      </w:pPr>
      <w:r>
        <w:t xml:space="preserve">Based on this analysis, wfntywrwdf should consider the following recommendations for uqwjukxlie:</w:t>
      </w:r>
    </w:p>
    <w:p>
      <w:pPr>
        <w:numPr>
          <w:ilvl w:val="0"/>
          <w:numId w:val="1017"/>
        </w:numPr>
        <w:pStyle w:val="Compact"/>
      </w:pPr>
      <w:r>
        <w:rPr>
          <w:bCs/>
          <w:b/>
        </w:rPr>
        <w:t xml:space="preserve">Material Optimization:</w:t>
      </w:r>
      <w:r>
        <w:t xml:space="preserve"> </w:t>
      </w:r>
      <w:r>
        <w:t xml:space="preserve">Focus on reducing the impact of high-emission materials such as aluminum and semiconductor components. This could involve exploring alternative materials with lower embodied carbon, increasing the recycled content, or working with suppliers to reduce their upstream emissions.</w:t>
      </w:r>
    </w:p>
    <w:p>
      <w:pPr>
        <w:numPr>
          <w:ilvl w:val="0"/>
          <w:numId w:val="1017"/>
        </w:numPr>
        <w:pStyle w:val="Compact"/>
      </w:pPr>
      <w:r>
        <w:rPr>
          <w:bCs/>
          <w:b/>
        </w:rPr>
        <w:t xml:space="preserve">Energy Efficiency in Use Phase:</w:t>
      </w:r>
      <w:r>
        <w:t xml:space="preserve"> </w:t>
      </w:r>
      <w:r>
        <w:t xml:space="preserve">Prioritize design improvements that reduce the product\'s energy consumption during its 5-year lifespan. This will directly address a significant downstream hotspot and enhance the product\'s overall sustainability profile.</w:t>
      </w:r>
    </w:p>
    <w:p>
      <w:pPr>
        <w:numPr>
          <w:ilvl w:val="0"/>
          <w:numId w:val="1017"/>
        </w:numPr>
        <w:pStyle w:val="Compact"/>
      </w:pPr>
      <w:r>
        <w:rPr>
          <w:bCs/>
          <w:b/>
        </w:rPr>
        <w:t xml:space="preserve">Renewable Energy Sourcing:</w:t>
      </w:r>
      <w:r>
        <w:t xml:space="preserve"> </w:t>
      </w:r>
      <w:r>
        <w:t xml:space="preserve">Continue to invest in and procure 100% renewable electricity for manufacturing operations in China, further reducing Scope 2 emissions. Exploring renewable energy options for key suppliers can also contribute to Scope 3 reductions.</w:t>
      </w:r>
    </w:p>
    <w:p>
      <w:pPr>
        <w:numPr>
          <w:ilvl w:val="0"/>
          <w:numId w:val="1017"/>
        </w:numPr>
        <w:pStyle w:val="Compact"/>
      </w:pPr>
      <w:r>
        <w:rPr>
          <w:bCs/>
          <w:b/>
        </w:rPr>
        <w:t xml:space="preserve">Supplier Engagement:</w:t>
      </w:r>
      <w:r>
        <w:t xml:space="preserve"> </w:t>
      </w:r>
      <w:r>
        <w:t xml:space="preserve">Implement a robust supplier engagement program to collect primary data for Scope 3 emissions (especially Category 1 and 4). This is crucial for improving the accuracy of future PCF analyses and meeting the 95% Scope 3 coverage requirement.</w:t>
      </w:r>
    </w:p>
    <w:p>
      <w:pPr>
        <w:numPr>
          <w:ilvl w:val="0"/>
          <w:numId w:val="1017"/>
        </w:numPr>
        <w:pStyle w:val="Compact"/>
      </w:pPr>
      <w:r>
        <w:rPr>
          <w:bCs/>
          <w:b/>
        </w:rPr>
        <w:t xml:space="preserve">Circular Economy Initiatives:</w:t>
      </w:r>
      <w:r>
        <w:t xml:space="preserve"> </w:t>
      </w:r>
      <w:r>
        <w:t xml:space="preserve">Leverage and expand the existing take-back programs to maximize product and component reuse, refurbishment, and high-quality recycling. This reinforces the positive net impact observed in the End-of-Life stage.</w:t>
      </w:r>
    </w:p>
    <w:p>
      <w:pPr>
        <w:numPr>
          <w:ilvl w:val="0"/>
          <w:numId w:val="1017"/>
        </w:numPr>
        <w:pStyle w:val="Compact"/>
      </w:pPr>
      <w:r>
        <w:rPr>
          <w:bCs/>
          <w:b/>
        </w:rPr>
        <w:t xml:space="preserve">Lifecycle Thinking:</w:t>
      </w:r>
      <w:r>
        <w:t xml:space="preserve"> </w:t>
      </w:r>
      <w:r>
        <w:t xml:space="preserve">Continue to adopt a full lifecycle perspective in product design and procurement decisions, considering impacts beyond the factory gate, including downstream transportation, product use, and end-of-life.</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uqwjukxlie</dc:title>
  <dc:creator/>
  <dc:description>High-detail Product Carbon Footprint (PCF) analysis report for uqwjukxlie, adhering to GHG Protocol standards and 2026 updates, performed by Senior Sustainability Consultant exrlduoyhw for wfntywrwdf.</dc:description>
  <dc:language>en</dc:language>
  <cp:keywords/>
  <dcterms:created xsi:type="dcterms:W3CDTF">2026-07-15T06:06:14Z</dcterms:created>
  <dcterms:modified xsi:type="dcterms:W3CDTF">2026-07-15T06:06:14Z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