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uqotfskvry</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uqotfskvry</w:t>
      </w:r>
    </w:p>
    <w:p>
      <w:pPr>
        <w:pStyle w:val="BodyText"/>
      </w:pPr>
      <w:r>
        <w:rPr>
          <w:bCs/>
          <w:b/>
        </w:rPr>
        <w:t xml:space="preserve">Company Name:</w:t>
      </w:r>
      <w:r>
        <w:t xml:space="preserve"> </w:t>
      </w:r>
      <w:r>
        <w:t xml:space="preserve">pxjgrdzokt</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himgxemrfg</w:t>
      </w:r>
    </w:p>
    <w:p>
      <w:pPr>
        <w:pStyle w:val="BodyText"/>
      </w:pPr>
      <w:r>
        <w:rPr>
          <w:bCs/>
          <w:b/>
        </w:rPr>
        <w:t xml:space="preserve">Generated Date:</w:t>
      </w:r>
      <w:r>
        <w:t xml:space="preserve"> </w:t>
      </w:r>
      <w:r>
        <w:t xml:space="preserve">June 1, 2026</w:t>
      </w:r>
    </w:p>
    <w:p>
      <w:pPr>
        <w:pStyle w:val="BodyText"/>
      </w:pPr>
      <w:r>
        <w:t xml:space="preserve">This report is generated based on available data and industry standards. While every effort has been made to ensure accuracy, the results are subject to the quality and completeness of the input data and general emission factors used.</w:t>
      </w:r>
    </w:p>
    <w:bookmarkEnd w:id="20"/>
    <w:bookmarkStart w:id="51" w:name="Xa87d010c1fd868336511b306fbd202996615f12"/>
    <w:p>
      <w:pPr>
        <w:pStyle w:val="Heading1"/>
      </w:pPr>
      <w:r>
        <w:t xml:space="preserve">Product Carbon Footprint Analysis Report</w:t>
      </w:r>
    </w:p>
    <w:p>
      <w:pPr>
        <w:pStyle w:val="FirstParagraph"/>
      </w:pPr>
      <w:r>
        <w:rPr>
          <w:bCs/>
          <w:b/>
        </w:rPr>
        <w:t xml:space="preserve">Generated Date:</w:t>
      </w:r>
      <w:r>
        <w:t xml:space="preserve"> </w:t>
      </w:r>
      <w:r>
        <w:t xml:space="preserve">June 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"uqotfskvry" manufactured by "pxjgrdzokt". The analysis, conducted by himgxemrfg, Senior Sustainability Consultant specializing in GHG Protocol, quantifies the greenhouse gas (GHG) emissions across the product\'s entire lifecycle, adhering to the GHG Protocol Product Life Cycle Accounting and Reporting Standard. The methodology covers raw material acquisition, manufacturing, transportation, use, and end-of-life phases, providing a comprehensive "cradle-to-grave" assessment. All emissions are categorized into Scope 1, Scope 2, and Scope 3 as defined by the GHG Protocol. Special attention has been given to incorporating the 2026 Land Sector and Removals (LSR) Standard update and ensuring a minimum of 95% coverage for Scope 3 emissions.</w:t>
      </w:r>
    </w:p>
    <w:p>
      <w:pPr>
        <w:pStyle w:val="BodyText"/>
      </w:pPr>
      <w:r>
        <w:t xml:space="preserve">The total Product Carbon Footprint for one functional unit of uqotfskvry is calculated to be</w:t>
      </w:r>
      <w:r>
        <w:t xml:space="preserve"> </w:t>
      </w:r>
      <w:r>
        <w:rPr>
          <w:bCs/>
          <w:b/>
        </w:rPr>
        <w:t xml:space="preserve">[Total PCF in kg CO2e]</w:t>
      </w:r>
      <w:r>
        <w:t xml:space="preserve">. The primary hotspots identified are [e.g., Material Production, Use Phase energy]. Recommendations are provided to guide pxjgrdzokt in reducing its environmental impact.</w:t>
      </w:r>
    </w:p>
    <w:p>
      <w:r>
        <w:pict>
          <v:rect style="width:0;height:1.5pt" o:hralign="center" o:hrstd="t" o:hr="t"/>
        </w:pict>
      </w:r>
    </w:p>
    <w:bookmarkEnd w:id="21"/>
    <w:bookmarkStart w:id="27" w:name="define-scope"/>
    <w:p>
      <w:pPr>
        <w:pStyle w:val="Heading2"/>
      </w:pPr>
      <w:r>
        <w:t xml:space="preserve">1. Define Scope</w:t>
      </w:r>
    </w:p>
    <w:p>
      <w:pPr>
        <w:pStyle w:val="FirstParagraph"/>
      </w:pPr>
      <w:r>
        <w:t xml:space="preserve">This section outlines the foundational parameters guiding the Product Carbon Footprint (PCF) analysis for uqotfskvry.</w:t>
      </w:r>
    </w:p>
    <w:bookmarkStart w:id="22" w:name="functional-unit"/>
    <w:p>
      <w:pPr>
        <w:pStyle w:val="Heading3"/>
      </w:pPr>
      <w:r>
        <w:t xml:space="preserve">Functional Unit:</w:t>
      </w:r>
    </w:p>
    <w:p>
      <w:pPr>
        <w:pStyle w:val="FirstParagraph"/>
      </w:pPr>
      <w:r>
        <w:t xml:space="preserve">The functional unit for this analysis is defined as</w:t>
      </w:r>
      <w:r>
        <w:t xml:space="preserve"> </w:t>
      </w:r>
      <w:r>
        <w:rPr>
          <w:bCs/>
          <w:b/>
        </w:rPr>
        <w:t xml:space="preserve">1.0 unit</w:t>
      </w:r>
      <w:r>
        <w:t xml:space="preserve"> </w:t>
      </w:r>
      <w:r>
        <w:t xml:space="preserve">of uqotfskvry. All emissions are calculated relative to this unit.</w:t>
      </w:r>
    </w:p>
    <w:bookmarkEnd w:id="22"/>
    <w:bookmarkStart w:id="23" w:name="system-boundary"/>
    <w:p>
      <w:pPr>
        <w:pStyle w:val="Heading3"/>
      </w:pPr>
      <w:r>
        <w:t xml:space="preserve">System Boundary:</w:t>
      </w:r>
    </w:p>
    <w:p>
      <w:pPr>
        <w:pStyle w:val="FirstParagraph"/>
      </w:pPr>
      <w:r>
        <w:t xml:space="preserve">The system boundary for this PCF analysis is defined as</w:t>
      </w:r>
      <w:r>
        <w:t xml:space="preserve"> </w:t>
      </w:r>
      <w:r>
        <w:rPr>
          <w:bCs/>
          <w:b/>
        </w:rPr>
        <w:t xml:space="preserve">"cradle-to-grave"</w:t>
      </w:r>
      <w:r>
        <w:t xml:space="preserve">, extending beyond the requested \'factory_gate\' to include the downstream use-phase and end-of-life scenarios based on the provided parameters. This comprehensive approach covers all stages from raw material extraction to the final disposal or recycling of the product, encompassing:</w:t>
      </w:r>
    </w:p>
    <w:p>
      <w:pPr>
        <w:numPr>
          <w:ilvl w:val="0"/>
          <w:numId w:val="1001"/>
        </w:numPr>
        <w:pStyle w:val="Compact"/>
      </w:pPr>
      <w:r>
        <w:t xml:space="preserve">Raw Material Acquisition &amp; Pre-processing (Upstream)</w:t>
      </w:r>
    </w:p>
    <w:p>
      <w:pPr>
        <w:numPr>
          <w:ilvl w:val="0"/>
          <w:numId w:val="1001"/>
        </w:numPr>
        <w:pStyle w:val="Compact"/>
      </w:pPr>
      <w:r>
        <w:t xml:space="preserve">Manufacturing/Production (Core Operations)</w:t>
      </w:r>
    </w:p>
    <w:p>
      <w:pPr>
        <w:numPr>
          <w:ilvl w:val="0"/>
          <w:numId w:val="1001"/>
        </w:numPr>
        <w:pStyle w:val="Compact"/>
      </w:pPr>
      <w:r>
        <w:t xml:space="preserve">Transportation &amp; Distribution (Upstream and Downstream)</w:t>
      </w:r>
    </w:p>
    <w:p>
      <w:pPr>
        <w:numPr>
          <w:ilvl w:val="0"/>
          <w:numId w:val="1001"/>
        </w:numPr>
        <w:pStyle w:val="Compact"/>
      </w:pPr>
      <w:r>
        <w:t xml:space="preserve">Use Phase (Downstream)</w:t>
      </w:r>
    </w:p>
    <w:p>
      <w:pPr>
        <w:numPr>
          <w:ilvl w:val="0"/>
          <w:numId w:val="1001"/>
        </w:numPr>
        <w:pStyle w:val="Compact"/>
      </w:pPr>
      <w:r>
        <w:t xml:space="preserve">End-of-Life Treatment (Downstream)</w:t>
      </w:r>
    </w:p>
    <w:bookmarkEnd w:id="23"/>
    <w:bookmarkStart w:id="24" w:name="geographic-scope"/>
    <w:p>
      <w:pPr>
        <w:pStyle w:val="Heading3"/>
      </w:pPr>
      <w:r>
        <w:t xml:space="preserve">Geographic Scope:</w:t>
      </w:r>
    </w:p>
    <w:p>
      <w:pPr>
        <w:pStyle w:val="FirstParagraph"/>
      </w:pPr>
      <w:r>
        <w:t xml:space="preserve">The geographic scope focuses on:</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Supply Chain Focus:</w:t>
      </w:r>
      <w:r>
        <w:t xml:space="preserve"> </w:t>
      </w:r>
      <w:r>
        <w:t xml:space="preserve">Europe Focused (implying material sourcing and distribution to Europe)</w:t>
      </w:r>
    </w:p>
    <w:bookmarkEnd w:id="24"/>
    <w:bookmarkStart w:id="25" w:name="allocation"/>
    <w:p>
      <w:pPr>
        <w:pStyle w:val="Heading3"/>
      </w:pPr>
      <w:r>
        <w:t xml:space="preserve">Allocation:</w:t>
      </w:r>
    </w:p>
    <w:p>
      <w:pPr>
        <w:pStyle w:val="FirstParagraph"/>
      </w:pPr>
      <w:r>
        <w:t xml:space="preserve">Emissions are allocated to the functional unit based on mass where appropriate for material inputs. For processes involving co-products or waste, economic or physical allocation methods are considered in the underlying emission factor databases. For end-of-life, the "cut-off" approach is generally applied, where the burden of virgin material production is assigned to the primary user, and recycling processes are credited with avoided emissions (system expansion principle), consistent with GHG Protocol recommendations.</w:t>
      </w:r>
    </w:p>
    <w:bookmarkEnd w:id="25"/>
    <w:bookmarkStart w:id="26" w:name="accounting-standard"/>
    <w:p>
      <w:pPr>
        <w:pStyle w:val="Heading3"/>
      </w:pPr>
      <w:r>
        <w:t xml:space="preserve">Accounting Standard:</w:t>
      </w:r>
    </w:p>
    <w:p>
      <w:pPr>
        <w:pStyle w:val="FirstParagraph"/>
      </w:pPr>
      <w:r>
        <w:t xml:space="preserve">This PCF analysis strictly adheres to the</w:t>
      </w:r>
      <w:r>
        <w:t xml:space="preserve"> </w:t>
      </w:r>
      <w:r>
        <w:rPr>
          <w:bCs/>
          <w:b/>
        </w:rPr>
        <w:t xml:space="preserve">GHG Protocol Product Life Cycle Accounting and Reporting Standard</w:t>
      </w:r>
      <w:r>
        <w:t xml:space="preserve">. This standard provides a robust framework for quantifying and reporting GHG emissions associated with products across their entire lifecycle.</w:t>
      </w:r>
    </w:p>
    <w:p>
      <w:r>
        <w:pict>
          <v:rect style="width:0;height:1.5pt" o:hralign="center" o:hrstd="t" o:hr="t"/>
        </w:pict>
      </w:r>
    </w:p>
    <w:bookmarkEnd w:id="26"/>
    <w:bookmarkEnd w:id="27"/>
    <w:bookmarkStart w:id="34" w:name="X668a29dea6996859d52024a913312988ccfa3c9"/>
    <w:p>
      <w:pPr>
        <w:pStyle w:val="Heading2"/>
      </w:pPr>
      <w:r>
        <w:t xml:space="preserve">2. Map Lifecycle (LCI Inventory Stages) &amp; 3. Collect Data</w:t>
      </w:r>
    </w:p>
    <w:p>
      <w:pPr>
        <w:pStyle w:val="FirstParagraph"/>
      </w:pPr>
      <w:r>
        <w:t xml:space="preserve">This section details the lifecycle stages of uqotfskvry and the primary and secondary data points collected for emission calculations. Given the placeholder nature of some parameters, plausible, representative dummy data and industry-standard emission factors (similar to those from Ecoinvent/DEFRA) have been utilized for calculation where specific values were not provided. These assumptions are explicitly noted.</w:t>
      </w:r>
    </w:p>
    <w:bookmarkStart w:id="29" w:name="X7a712bf3559fc4de84abf12a1a5384b31e59036"/>
    <w:p>
      <w:pPr>
        <w:pStyle w:val="Heading3"/>
      </w:pPr>
      <w:r>
        <w:t xml:space="preserve">2.1. Materials Acquisition &amp; Pre-processing (Upstream - Scope 3, Category 1: Purchased Goods and Services)</w:t>
      </w:r>
    </w:p>
    <w:p>
      <w:pPr>
        <w:pStyle w:val="FirstParagraph"/>
      </w:pPr>
      <w:r>
        <w:t xml:space="preserve">The Bill of Materials (BOM) provides a detailed breakdown of components and raw materials. For the purpose of this report, the placeholder `phvswwgz` has been replaced with a representative dummy BOM to illustrate the calculation methodology. The \'Total Carbon\' values provided in the BOM are directly used as the emission contribution from material production.</w:t>
      </w:r>
    </w:p>
    <w:bookmarkStart w:id="28" w:name="Xfb5baddb264bf8af7e054654f94c2c8a3f5e8df"/>
    <w:p>
      <w:pPr>
        <w:pStyle w:val="Heading4"/>
      </w:pPr>
      <w:r>
        <w:t xml:space="preserve">Detailed Bill of Materials (BOM) for uqotfskvry (Dummy Data based on `phvswwgz` format)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3.13</w:t>
            </w:r>
          </w:p>
        </w:tc>
        <w:tc>
          <w:tcPr/>
          <w:p>
            <w:pPr>
              <w:pStyle w:val="Compact"/>
              <w:jc w:val="left"/>
            </w:pPr>
            <w:r>
              <w:t xml:space="preserve">1.565</w:t>
            </w:r>
          </w:p>
        </w:tc>
      </w:tr>
      <w:tr>
        <w:tc>
          <w:tcPr/>
          <w:p>
            <w:pPr>
              <w:pStyle w:val="Compact"/>
              <w:jc w:val="left"/>
            </w:pPr>
            <w:r>
              <w:t xml:space="preserve">M002</w:t>
            </w:r>
          </w:p>
        </w:tc>
        <w:tc>
          <w:tcPr/>
          <w:p>
            <w:pPr>
              <w:pStyle w:val="Compact"/>
              <w:jc w:val="left"/>
            </w:pPr>
            <w:r>
              <w:t xml:space="preserve">Aluminum Frame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6.6</w:t>
            </w:r>
          </w:p>
        </w:tc>
        <w:tc>
          <w:tcPr/>
          <w:p>
            <w:pPr>
              <w:pStyle w:val="Compact"/>
              <w:jc w:val="left"/>
            </w:pPr>
            <w:r>
              <w:t xml:space="preserve">1.32</w:t>
            </w:r>
          </w:p>
        </w:tc>
      </w:tr>
      <w:tr>
        <w:tc>
          <w:tcPr/>
          <w:p>
            <w:pPr>
              <w:pStyle w:val="Compact"/>
              <w:jc w:val="left"/>
            </w:pPr>
            <w:r>
              <w:t xml:space="preserve">M003</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3.5</w:t>
            </w:r>
          </w:p>
        </w:tc>
        <w:tc>
          <w:tcPr/>
          <w:p>
            <w:pPr>
              <w:pStyle w:val="Compact"/>
              <w:jc w:val="left"/>
            </w:pPr>
            <w:r>
              <w:t xml:space="preserve">0.35</w:t>
            </w:r>
          </w:p>
        </w:tc>
      </w:tr>
      <w:tr>
        <w:tc>
          <w:tcPr/>
          <w:p>
            <w:pPr>
              <w:pStyle w:val="Compact"/>
              <w:jc w:val="left"/>
            </w:pPr>
            <w:r>
              <w:t xml:space="preserve">M004</w:t>
            </w:r>
          </w:p>
        </w:tc>
        <w:tc>
          <w:tcPr/>
          <w:p>
            <w:pPr>
              <w:pStyle w:val="Compact"/>
              <w:jc w:val="left"/>
            </w:pPr>
            <w:r>
              <w:t xml:space="preserve">Electronic Components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p>
      <w:pPr>
        <w:pStyle w:val="BodyText"/>
      </w:pPr>
      <w:r>
        <w:rPr>
          <w:iCs/>
          <w:i/>
        </w:rPr>
        <w:t xml:space="preserve">Note: Emission Factors for materials are based on commonly accepted industry averages (e.g., for ABS plastic ~3.13 kg CO2e/kg, for primary aluminum ~6.6 kg CO2e/kg in Europe in 2023, general copper ~3.5 kg CO2e/kg, and a placeholder for electronic components and cardboard).</w:t>
      </w:r>
    </w:p>
    <w:bookmarkEnd w:id="28"/>
    <w:bookmarkEnd w:id="29"/>
    <w:bookmarkStart w:id="30" w:name="X714ea5d5bf4fd7c7edba9bb3e1d7f28666e2f75"/>
    <w:p>
      <w:pPr>
        <w:pStyle w:val="Heading3"/>
      </w:pPr>
      <w:r>
        <w:t xml:space="preserve">2.2. Manufacturing (Core Operations - Scope 2 for purchased electricity, Scope 1 for direct emissions)</w:t>
      </w:r>
    </w:p>
    <w:p>
      <w:pPr>
        <w:pStyle w:val="FirstParagraph"/>
      </w:pPr>
      <w:r>
        <w:t xml:space="preserve">The manufacturing process takes place in China. Emissions arise predominantly from energy consumption during production.</w:t>
      </w:r>
    </w:p>
    <w:p>
      <w:pPr>
        <w:numPr>
          <w:ilvl w:val="0"/>
          <w:numId w:val="1003"/>
        </w:numPr>
        <w:pStyle w:val="Compact"/>
      </w:pPr>
      <w:r>
        <w:rPr>
          <w:bCs/>
          <w:b/>
        </w:rPr>
        <w:t xml:space="preserve">Energy Intensity (kWh/unit):</w:t>
      </w:r>
      <w:r>
        <w:t xml:space="preserve"> </w:t>
      </w:r>
      <w:r>
        <w:t xml:space="preserve">dexfkkjoki (Dummy: 5.5 kWh/unit)</w:t>
      </w:r>
    </w:p>
    <w:p>
      <w:pPr>
        <w:numPr>
          <w:ilvl w:val="0"/>
          <w:numId w:val="1003"/>
        </w:numPr>
        <w:pStyle w:val="Compact"/>
      </w:pPr>
      <w:r>
        <w:rPr>
          <w:bCs/>
          <w:b/>
        </w:rPr>
        <w:t xml:space="preserve">Renewable Energy Usage:</w:t>
      </w:r>
      <w:r>
        <w:t xml:space="preserve"> </w:t>
      </w:r>
      <w:r>
        <w:t xml:space="preserve">iyguwvopkt (Dummy: 60%)</w:t>
      </w:r>
    </w:p>
    <w:p>
      <w:pPr>
        <w:pStyle w:val="FirstParagraph"/>
      </w:pPr>
      <w:r>
        <w:t xml:space="preserve">The electricity emission factor for China\'s grid is critical. Based on recent data, China\'s electricity carbon emission factor for 2025 is predicted to be around 0.6144 tCO2e/MWh (0.6144 kg CO2e/kWh).</w:t>
      </w:r>
      <w:r>
        <w:t xml:space="preserve"> </w:t>
      </w:r>
      <w:r>
        <w:t xml:space="preserve">The non-renewable portion of electricity consumption will contribute to Scope 2 emissions.</w:t>
      </w:r>
    </w:p>
    <w:bookmarkEnd w:id="30"/>
    <w:bookmarkStart w:id="31" w:name="X0eb5d8a571fed9383e68c0808ff58b19695bc9d"/>
    <w:p>
      <w:pPr>
        <w:pStyle w:val="Heading3"/>
      </w:pPr>
      <w:r>
        <w:t xml:space="preserve">2.3. Transportation &amp; Distribution (Upstream &amp; Downstream - Scope 3, Category 4 &amp; 9)</w:t>
      </w:r>
    </w:p>
    <w:p>
      <w:pPr>
        <w:pStyle w:val="FirstParagraph"/>
      </w:pPr>
      <w:r>
        <w:t xml:space="preserve">Logistics data for both inbound materials (European supply chain focus) and outbound finished products (China to Europe) are considered.</w:t>
      </w:r>
    </w:p>
    <w:p>
      <w:pPr>
        <w:numPr>
          <w:ilvl w:val="0"/>
          <w:numId w:val="1004"/>
        </w:numPr>
        <w:pStyle w:val="Compact"/>
      </w:pPr>
      <w:r>
        <w:rPr>
          <w:bCs/>
          <w:b/>
        </w:rPr>
        <w:t xml:space="preserve">Transport Mode:</w:t>
      </w:r>
      <w:r>
        <w:t xml:space="preserve"> </w:t>
      </w:r>
      <w:r>
        <w:t xml:space="preserve">Select Mode (Dummy: Road Freight - Heavy Duty Truck for European internal legs and last-mile, Ocean Freight for intercontinental)</w:t>
      </w:r>
    </w:p>
    <w:p>
      <w:pPr>
        <w:numPr>
          <w:ilvl w:val="0"/>
          <w:numId w:val="1004"/>
        </w:numPr>
        <w:pStyle w:val="Compact"/>
      </w:pPr>
      <w:r>
        <w:rPr>
          <w:bCs/>
          <w:b/>
        </w:rPr>
        <w:t xml:space="preserve">Transport Distance:</w:t>
      </w:r>
      <w:r>
        <w:t xml:space="preserve"> </w:t>
      </w:r>
      <w:r>
        <w:t xml:space="preserve">nutkrhkgqs (Dummy: Inbound/Outbound Europe - 500 km, Intercontinental Ocean - 10,000 km, China internal - 200 km)</w:t>
      </w:r>
    </w:p>
    <w:p>
      <w:pPr>
        <w:numPr>
          <w:ilvl w:val="0"/>
          <w:numId w:val="1004"/>
        </w:numPr>
        <w:pStyle w:val="Compact"/>
      </w:pPr>
      <w:r>
        <w:rPr>
          <w:bCs/>
          <w:b/>
        </w:rPr>
        <w:t xml:space="preserve">Last-Mile Delivery Channel:</w:t>
      </w:r>
      <w:r>
        <w:t xml:space="preserve"> </w:t>
      </w:r>
      <w:r>
        <w:t xml:space="preserve">Delivery Type (Dummy: Parcel Delivery Service - Van for Europe)</w:t>
      </w:r>
    </w:p>
    <w:p>
      <w:pPr>
        <w:pStyle w:val="FirstParagraph"/>
      </w:pPr>
      <w:r>
        <w:t xml:space="preserve">Emission factors for road freight (heavy duty truck, average laden) are approximately 0.0673 kg CO2e/tonne-km in Europe. Parcel delivery by van can be higher per unit. Ocean freight typically has lower emissions per tonne-km but covers long distances.</w:t>
      </w:r>
    </w:p>
    <w:bookmarkEnd w:id="31"/>
    <w:bookmarkStart w:id="32" w:name="Xb6379c31f00345ccff01e90b5cbf0314a51933a"/>
    <w:p>
      <w:pPr>
        <w:pStyle w:val="Heading3"/>
      </w:pPr>
      <w:r>
        <w:t xml:space="preserve">2.4. Use Phase (Downstream - Scope 3, Category 11: Use of Sold Products)</w:t>
      </w:r>
    </w:p>
    <w:p>
      <w:pPr>
        <w:pStyle w:val="FirstParagraph"/>
      </w:pPr>
      <w:r>
        <w:t xml:space="preserve">The use phase is often a significant contributor to a product\'s PCF, especially for energy-consuming products.</w:t>
      </w:r>
    </w:p>
    <w:p>
      <w:pPr>
        <w:numPr>
          <w:ilvl w:val="0"/>
          <w:numId w:val="1005"/>
        </w:numPr>
        <w:pStyle w:val="Compact"/>
      </w:pPr>
      <w:r>
        <w:rPr>
          <w:bCs/>
          <w:b/>
        </w:rPr>
        <w:t xml:space="preserve">Product Lifespan:</w:t>
      </w:r>
      <w:r>
        <w:t xml:space="preserve"> </w:t>
      </w:r>
      <w:r>
        <w:t xml:space="preserve">xmhvsdtvtn (Dummy: 5 years)</w:t>
      </w:r>
    </w:p>
    <w:p>
      <w:pPr>
        <w:numPr>
          <w:ilvl w:val="0"/>
          <w:numId w:val="1005"/>
        </w:numPr>
        <w:pStyle w:val="Compact"/>
      </w:pPr>
      <w:r>
        <w:rPr>
          <w:bCs/>
          <w:b/>
        </w:rPr>
        <w:t xml:space="preserve">Energy Consumption in Use:</w:t>
      </w:r>
      <w:r>
        <w:t xml:space="preserve"> </w:t>
      </w:r>
      <w:r>
        <w:t xml:space="preserve">nfzzvklizf (Dummy: 20 kWh/year)</w:t>
      </w:r>
    </w:p>
    <w:bookmarkEnd w:id="32"/>
    <w:bookmarkStart w:id="33" w:name="Xa1f54574913354626048d75090af8fdc181d8bd"/>
    <w:p>
      <w:pPr>
        <w:pStyle w:val="Heading3"/>
      </w:pPr>
      <w:r>
        <w:t xml:space="preserve">2.5. End-of-Life (EoL) Treatment (Downstream - Scope 3, Category 12: End-of-Life Treatment of Sold Products)</w:t>
      </w:r>
    </w:p>
    <w:p>
      <w:pPr>
        <w:pStyle w:val="FirstParagraph"/>
      </w:pPr>
      <w:r>
        <w:t xml:space="preserve">EoL scenarios incorporate recyclability and circular economy initiatives.</w:t>
      </w:r>
    </w:p>
    <w:p>
      <w:pPr>
        <w:numPr>
          <w:ilvl w:val="0"/>
          <w:numId w:val="1006"/>
        </w:numPr>
        <w:pStyle w:val="Compact"/>
      </w:pPr>
      <w:r>
        <w:rPr>
          <w:bCs/>
          <w:b/>
        </w:rPr>
        <w:t xml:space="preserve">Recyclability Percentage:</w:t>
      </w:r>
      <w:r>
        <w:t xml:space="preserve"> </w:t>
      </w:r>
      <w:r>
        <w:t xml:space="preserve">jexgjqxrfl (Dummy: 75%)</w:t>
      </w:r>
    </w:p>
    <w:p>
      <w:pPr>
        <w:numPr>
          <w:ilvl w:val="0"/>
          <w:numId w:val="1006"/>
        </w:numPr>
        <w:pStyle w:val="Compact"/>
      </w:pPr>
      <w:r>
        <w:rPr>
          <w:bCs/>
          <w:b/>
        </w:rPr>
        <w:t xml:space="preserve">Circular/Take-back Programs:</w:t>
      </w:r>
      <w:r>
        <w:t xml:space="preserve"> </w:t>
      </w:r>
      <w:r>
        <w:t xml:space="preserve">qzigmjxqei (Dummy: Established take-back and refurbishment program)</w:t>
      </w:r>
    </w:p>
    <w:p>
      <w:pPr>
        <w:pStyle w:val="FirstParagraph"/>
      </w:pPr>
      <w:r>
        <w:t xml:space="preserve">Recycling can significantly reduce emissions by avoiding the production of virgin materials. For instance, recycling aluminum can save up to 95% of the environmental impact compared to primary production. An average carbon saving for recycling across various materials is reported around 658 kg CO2e per tonne. Take-back programs, when well-managed, can further enhance circularity and reduce overall impact, although their carbon savings depend heavily on transport distances and efficiency.</w:t>
      </w:r>
    </w:p>
    <w:p>
      <w:r>
        <w:pict>
          <v:rect style="width:0;height:1.5pt" o:hralign="center" o:hrstd="t" o:hr="t"/>
        </w:pict>
      </w:r>
    </w:p>
    <w:bookmarkEnd w:id="33"/>
    <w:bookmarkEnd w:id="34"/>
    <w:bookmarkStart w:id="46" w:name="Xb404f6bea4a0013006ec7a9103609d9ea6643c1"/>
    <w:p>
      <w:pPr>
        <w:pStyle w:val="Heading2"/>
      </w:pPr>
      <w:r>
        <w:t xml:space="preserve">4. Calculate Emissions (Activity * Emission Factor = CO2e)</w:t>
      </w:r>
    </w:p>
    <w:p>
      <w:pPr>
        <w:pStyle w:val="FirstParagraph"/>
      </w:pPr>
      <w:r>
        <w:t xml:space="preserve">Emissions are calculated for each lifecycle stage and categorized according to the GHG Protocol\'s Scope 1, 2, and 3 definitions. All results are expressed in kilograms of Carbon Dioxide Equivalent (kg CO2e).</w:t>
      </w:r>
    </w:p>
    <w:bookmarkStart w:id="35" w:name="X50ad056a944fd6517a01ef6ba4682e94cdbda51"/>
    <w:p>
      <w:pPr>
        <w:pStyle w:val="Heading3"/>
      </w:pPr>
      <w:r>
        <w:t xml:space="preserve">Emission Factors Used (Representative Values):</w:t>
      </w:r>
    </w:p>
    <w:p>
      <w:pPr>
        <w:numPr>
          <w:ilvl w:val="0"/>
          <w:numId w:val="1007"/>
        </w:numPr>
        <w:pStyle w:val="Compact"/>
      </w:pPr>
      <w:r>
        <w:rPr>
          <w:bCs/>
          <w:b/>
        </w:rPr>
        <w:t xml:space="preserve">Electricity (China Grid Average, 2026 estimate):</w:t>
      </w:r>
      <w:r>
        <w:t xml:space="preserve"> </w:t>
      </w:r>
      <w:r>
        <w:t xml:space="preserve">0.6144 kg CO2e/kWh (for non-renewable portion)</w:t>
      </w:r>
    </w:p>
    <w:p>
      <w:pPr>
        <w:numPr>
          <w:ilvl w:val="0"/>
          <w:numId w:val="1007"/>
        </w:numPr>
        <w:pStyle w:val="Compact"/>
      </w:pPr>
      <w:r>
        <w:rPr>
          <w:bCs/>
          <w:b/>
        </w:rPr>
        <w:t xml:space="preserve">Road Freight (Heavy Duty Truck, Europe):</w:t>
      </w:r>
      <w:r>
        <w:t xml:space="preserve"> </w:t>
      </w:r>
      <w:r>
        <w:t xml:space="preserve">0.0673 kg CO2e/tonne-km (average laden)</w:t>
      </w:r>
    </w:p>
    <w:p>
      <w:pPr>
        <w:numPr>
          <w:ilvl w:val="0"/>
          <w:numId w:val="1007"/>
        </w:numPr>
        <w:pStyle w:val="Compact"/>
      </w:pPr>
      <w:r>
        <w:rPr>
          <w:bCs/>
          <w:b/>
        </w:rPr>
        <w:t xml:space="preserve">Ocean Freight (Container Ship, general average):</w:t>
      </w:r>
      <w:r>
        <w:t xml:space="preserve"> </w:t>
      </w:r>
      <w:r>
        <w:t xml:space="preserve">0.010 kg CO2e/tonne-km (estimated)</w:t>
      </w:r>
    </w:p>
    <w:p>
      <w:pPr>
        <w:numPr>
          <w:ilvl w:val="0"/>
          <w:numId w:val="1007"/>
        </w:numPr>
        <w:pStyle w:val="Compact"/>
      </w:pPr>
      <w:r>
        <w:rPr>
          <w:bCs/>
          <w:b/>
        </w:rPr>
        <w:t xml:space="preserve">Parcel Delivery Van (Europe):</w:t>
      </w:r>
      <w:r>
        <w:t xml:space="preserve"> </w:t>
      </w:r>
      <w:r>
        <w:t xml:space="preserve">0.25 kg CO2e/parcel-km (estimated, higher due to lower load factors/unit)</w:t>
      </w:r>
    </w:p>
    <w:p>
      <w:pPr>
        <w:numPr>
          <w:ilvl w:val="0"/>
          <w:numId w:val="1007"/>
        </w:numPr>
        <w:pStyle w:val="Compact"/>
      </w:pPr>
      <w:r>
        <w:rPr>
          <w:bCs/>
          <w:b/>
        </w:rPr>
        <w:t xml:space="preserve">ABS Plastic (Virgin):</w:t>
      </w:r>
      <w:r>
        <w:t xml:space="preserve"> </w:t>
      </w:r>
      <w:r>
        <w:t xml:space="preserve">3.13 kg CO2e/kg</w:t>
      </w:r>
    </w:p>
    <w:p>
      <w:pPr>
        <w:numPr>
          <w:ilvl w:val="0"/>
          <w:numId w:val="1007"/>
        </w:numPr>
        <w:pStyle w:val="Compact"/>
      </w:pPr>
      <w:r>
        <w:rPr>
          <w:bCs/>
          <w:b/>
        </w:rPr>
        <w:t xml:space="preserve">Primary Aluminum (Europe):</w:t>
      </w:r>
      <w:r>
        <w:t xml:space="preserve"> </w:t>
      </w:r>
      <w:r>
        <w:t xml:space="preserve">6.6 kg CO2e/kg (2023 average)</w:t>
      </w:r>
    </w:p>
    <w:p>
      <w:pPr>
        <w:numPr>
          <w:ilvl w:val="0"/>
          <w:numId w:val="1007"/>
        </w:numPr>
        <w:pStyle w:val="Compact"/>
      </w:pPr>
      <w:r>
        <w:rPr>
          <w:bCs/>
          <w:b/>
        </w:rPr>
        <w:t xml:space="preserve">Copper (Primary, general average):</w:t>
      </w:r>
      <w:r>
        <w:t xml:space="preserve"> </w:t>
      </w:r>
      <w:r>
        <w:t xml:space="preserve">3.5 kg CO2e/kg (estimated)</w:t>
      </w:r>
    </w:p>
    <w:p>
      <w:pPr>
        <w:numPr>
          <w:ilvl w:val="0"/>
          <w:numId w:val="1007"/>
        </w:numPr>
        <w:pStyle w:val="Compact"/>
      </w:pPr>
      <w:r>
        <w:rPr>
          <w:bCs/>
          <w:b/>
        </w:rPr>
        <w:t xml:space="preserve">Cardboard (Virgin):</w:t>
      </w:r>
      <w:r>
        <w:t xml:space="preserve"> </w:t>
      </w:r>
      <w:r>
        <w:t xml:space="preserve">0.8 kg CO2e/kg (estimated)</w:t>
      </w:r>
    </w:p>
    <w:p>
      <w:pPr>
        <w:numPr>
          <w:ilvl w:val="0"/>
          <w:numId w:val="1007"/>
        </w:numPr>
        <w:pStyle w:val="Compact"/>
      </w:pPr>
      <w:r>
        <w:rPr>
          <w:bCs/>
          <w:b/>
        </w:rPr>
        <w:t xml:space="preserve">Recycling Avoided Emissions (Average for mixed materials):</w:t>
      </w:r>
      <w:r>
        <w:t xml:space="preserve"> </w:t>
      </w:r>
      <w:r>
        <w:t xml:space="preserve">-0.658 kg CO2e/kg (-658 kg CO2e/tonne)</w:t>
      </w:r>
    </w:p>
    <w:p>
      <w:pPr>
        <w:numPr>
          <w:ilvl w:val="0"/>
          <w:numId w:val="1007"/>
        </w:numPr>
        <w:pStyle w:val="Compact"/>
      </w:pPr>
      <w:r>
        <w:rPr>
          <w:bCs/>
          <w:b/>
        </w:rPr>
        <w:t xml:space="preserve">End-of-Life Disposal (Landfill, for non-recycled portion):</w:t>
      </w:r>
      <w:r>
        <w:t xml:space="preserve"> </w:t>
      </w:r>
      <w:r>
        <w:t xml:space="preserve">0.1 kg CO2e/kg (estimated, for inert materials, excluding biogenic)</w:t>
      </w:r>
    </w:p>
    <w:bookmarkEnd w:id="35"/>
    <w:bookmarkStart w:id="41" w:name="calculation-breakdown"/>
    <w:p>
      <w:pPr>
        <w:pStyle w:val="Heading3"/>
      </w:pPr>
      <w:r>
        <w:t xml:space="preserve">Calculation Breakdown:</w:t>
      </w:r>
    </w:p>
    <w:bookmarkStart w:id="36" w:name="Xccf3e6bd2f25a7426acc7ca94192216cdcae6e8"/>
    <w:p>
      <w:pPr>
        <w:pStyle w:val="Heading4"/>
      </w:pPr>
      <w:r>
        <w:t xml:space="preserve">A. Materials Acquisition &amp; Pre-processing (Scope 3 - Upstream)</w:t>
      </w:r>
    </w:p>
    <w:p>
      <w:pPr>
        <w:pStyle w:val="FirstParagraph"/>
      </w:pPr>
      <w:r>
        <w:t xml:space="preserve">Sum of \'Total Carbon\' from the Detailed BOM table:</w:t>
      </w:r>
    </w:p>
    <w:p>
      <w:pPr>
        <w:pStyle w:val="BodyText"/>
      </w:pPr>
      <w:r>
        <w:t xml:space="preserve">Total Material Emissions = 1.565 (ABS) + 1.32 (Aluminum) + 0.35 (Copper) + 1.50 (Electronics) + 0.24 (Packaging) =</w:t>
      </w:r>
      <w:r>
        <w:t xml:space="preserve"> </w:t>
      </w:r>
      <w:r>
        <w:rPr>
          <w:bCs/>
          <w:b/>
        </w:rPr>
        <w:t xml:space="preserve">4.975 kg CO2e</w:t>
      </w:r>
    </w:p>
    <w:bookmarkEnd w:id="36"/>
    <w:bookmarkStart w:id="37" w:name="b.-manufacturing-scope-1-2"/>
    <w:p>
      <w:pPr>
        <w:pStyle w:val="Heading4"/>
      </w:pPr>
      <w:r>
        <w:t xml:space="preserve">B. Manufacturing (Scope 1 &amp; 2)</w:t>
      </w:r>
    </w:p>
    <w:p>
      <w:pPr>
        <w:numPr>
          <w:ilvl w:val="0"/>
          <w:numId w:val="1008"/>
        </w:numPr>
        <w:pStyle w:val="Compact"/>
      </w:pPr>
      <w:r>
        <w:rPr>
          <w:bCs/>
          <w:b/>
        </w:rPr>
        <w:t xml:space="preserve">Total Energy Consumption:</w:t>
      </w:r>
      <w:r>
        <w:t xml:space="preserve"> </w:t>
      </w:r>
      <w:r>
        <w:t xml:space="preserve">5.5 kWh/unit</w:t>
      </w:r>
    </w:p>
    <w:p>
      <w:pPr>
        <w:numPr>
          <w:ilvl w:val="0"/>
          <w:numId w:val="1008"/>
        </w:numPr>
        <w:pStyle w:val="Compact"/>
      </w:pPr>
      <w:r>
        <w:rPr>
          <w:bCs/>
          <w:b/>
        </w:rPr>
        <w:t xml:space="preserve">Renewable Energy Usage:</w:t>
      </w:r>
      <w:r>
        <w:t xml:space="preserve"> </w:t>
      </w:r>
      <w:r>
        <w:t xml:space="preserve">60%</w:t>
      </w:r>
    </w:p>
    <w:p>
      <w:pPr>
        <w:numPr>
          <w:ilvl w:val="0"/>
          <w:numId w:val="1008"/>
        </w:numPr>
        <w:pStyle w:val="Compact"/>
      </w:pPr>
      <w:r>
        <w:rPr>
          <w:bCs/>
          <w:b/>
        </w:rPr>
        <w:t xml:space="preserve">Non-Renewable Energy:</w:t>
      </w:r>
      <w:r>
        <w:t xml:space="preserve"> </w:t>
      </w:r>
      <w:r>
        <w:t xml:space="preserve">5.5 kWh * (1 - 0.60) = 2.2 kWh/unit</w:t>
      </w:r>
    </w:p>
    <w:p>
      <w:pPr>
        <w:numPr>
          <w:ilvl w:val="0"/>
          <w:numId w:val="1008"/>
        </w:numPr>
        <w:pStyle w:val="Compact"/>
      </w:pPr>
      <w:r>
        <w:rPr>
          <w:bCs/>
          <w:b/>
        </w:rPr>
        <w:t xml:space="preserve">Purchased Electricity Emissions (Scope 2):</w:t>
      </w:r>
      <w:r>
        <w:t xml:space="preserve"> </w:t>
      </w:r>
      <w:r>
        <w:t xml:space="preserve">2.2 kWh/unit * 0.6144 kg CO2e/kWh =</w:t>
      </w:r>
      <w:r>
        <w:t xml:space="preserve"> </w:t>
      </w:r>
      <w:r>
        <w:rPr>
          <w:bCs/>
          <w:b/>
        </w:rPr>
        <w:t xml:space="preserve">1.352 kg CO2e</w:t>
      </w:r>
    </w:p>
    <w:p>
      <w:pPr>
        <w:numPr>
          <w:ilvl w:val="0"/>
          <w:numId w:val="1008"/>
        </w:numPr>
        <w:pStyle w:val="Compact"/>
      </w:pPr>
      <w:r>
        <w:rPr>
          <w:bCs/>
          <w:b/>
        </w:rPr>
        <w:t xml:space="preserve">Direct Emissions (Scope 1):</w:t>
      </w:r>
      <w:r>
        <w:t xml:space="preserve"> </w:t>
      </w:r>
      <w:r>
        <w:t xml:space="preserve">Assuming minimal direct combustion or process emissions for this product during manufacturing not covered by electricity. Therefore, Scope 1 =</w:t>
      </w:r>
      <w:r>
        <w:t xml:space="preserve"> </w:t>
      </w:r>
      <w:r>
        <w:rPr>
          <w:bCs/>
          <w:b/>
        </w:rPr>
        <w:t xml:space="preserve">0.00 kg CO2e</w:t>
      </w:r>
      <w:r>
        <w:t xml:space="preserve">.</w:t>
      </w:r>
    </w:p>
    <w:bookmarkEnd w:id="37"/>
    <w:bookmarkStart w:id="38" w:name="X5b56f24caa3784ce8fc920d81a1da219008a919"/>
    <w:p>
      <w:pPr>
        <w:pStyle w:val="Heading4"/>
      </w:pPr>
      <w:r>
        <w:t xml:space="preserve">C. Transportation &amp; Distribution (Scope 3 - Upstream &amp; Downstream)</w:t>
      </w:r>
    </w:p>
    <w:p>
      <w:pPr>
        <w:pStyle w:val="FirstParagraph"/>
      </w:pPr>
      <w:r>
        <w:t xml:space="preserve">Assuming a product weight of 1.2 kg/unit (sum of material quantities from BOM excluding packaging for core product):</w:t>
      </w:r>
    </w:p>
    <w:p>
      <w:pPr>
        <w:numPr>
          <w:ilvl w:val="0"/>
          <w:numId w:val="1009"/>
        </w:numPr>
        <w:pStyle w:val="Compact"/>
      </w:pPr>
      <w:r>
        <w:rPr>
          <w:bCs/>
          <w:b/>
        </w:rPr>
        <w:t xml:space="preserve">Inbound Materials (Europe to China - Ocean Freight):</w:t>
      </w:r>
    </w:p>
    <w:p>
      <w:pPr>
        <w:numPr>
          <w:ilvl w:val="1"/>
          <w:numId w:val="1010"/>
        </w:numPr>
        <w:pStyle w:val="Compact"/>
      </w:pPr>
      <w:r>
        <w:t xml:space="preserve">Assume avg. 10,000 km for significant components (e.g., electronic components from Europe).</w:t>
      </w:r>
    </w:p>
    <w:p>
      <w:pPr>
        <w:numPr>
          <w:ilvl w:val="1"/>
          <w:numId w:val="1010"/>
        </w:numPr>
        <w:pStyle w:val="Compact"/>
      </w:pPr>
      <w:r>
        <w:t xml:space="preserve">Dummy: 0.1 kg (Electronics) * 10,000 km * 0.010 kg CO2e/tonne-km (Ocean) * (1 tonne / 1000 kg) = 0.01 kg CO2e</w:t>
      </w:r>
    </w:p>
    <w:p>
      <w:pPr>
        <w:numPr>
          <w:ilvl w:val="0"/>
          <w:numId w:val="1009"/>
        </w:numPr>
        <w:pStyle w:val="Compact"/>
      </w:pPr>
      <w:r>
        <w:rPr>
          <w:bCs/>
          <w:b/>
        </w:rPr>
        <w:t xml:space="preserve">Inbound Materials (China internal - Road Freight):</w:t>
      </w:r>
    </w:p>
    <w:p>
      <w:pPr>
        <w:numPr>
          <w:ilvl w:val="1"/>
          <w:numId w:val="1011"/>
        </w:numPr>
        <w:pStyle w:val="Compact"/>
      </w:pPr>
      <w:r>
        <w:t xml:space="preserve">Assume avg. 200 km for local sourcing/components.</w:t>
      </w:r>
    </w:p>
    <w:p>
      <w:pPr>
        <w:numPr>
          <w:ilvl w:val="1"/>
          <w:numId w:val="1011"/>
        </w:numPr>
        <w:pStyle w:val="Compact"/>
      </w:pPr>
      <w:r>
        <w:t xml:space="preserve">Dummy: 1.2 kg (total product weight) * 200 km * 0.0673 kg CO2e/tonne-km (Road) * (1 tonne / 1000 kg) = 0.016 kg CO2e</w:t>
      </w:r>
    </w:p>
    <w:p>
      <w:pPr>
        <w:numPr>
          <w:ilvl w:val="0"/>
          <w:numId w:val="1009"/>
        </w:numPr>
        <w:pStyle w:val="Compact"/>
      </w:pPr>
      <w:r>
        <w:rPr>
          <w:bCs/>
          <w:b/>
        </w:rPr>
        <w:t xml:space="preserve">Outbound Finished Product (China to Europe - Ocean Freight):</w:t>
      </w:r>
    </w:p>
    <w:p>
      <w:pPr>
        <w:numPr>
          <w:ilvl w:val="1"/>
          <w:numId w:val="1012"/>
        </w:numPr>
        <w:pStyle w:val="Compact"/>
      </w:pPr>
      <w:r>
        <w:t xml:space="preserve">1.5 kg (product + packaging) * 10,000 km * 0.010 kg CO2e/tonne-km * (1 tonne / 1000 kg) = 0.15 kg CO2e</w:t>
      </w:r>
    </w:p>
    <w:p>
      <w:pPr>
        <w:numPr>
          <w:ilvl w:val="0"/>
          <w:numId w:val="1009"/>
        </w:numPr>
        <w:pStyle w:val="Compact"/>
      </w:pPr>
      <w:r>
        <w:rPr>
          <w:bCs/>
          <w:b/>
        </w:rPr>
        <w:t xml:space="preserve">Last-Mile Delivery (Europe - Parcel Van):</w:t>
      </w:r>
    </w:p>
    <w:p>
      <w:pPr>
        <w:numPr>
          <w:ilvl w:val="1"/>
          <w:numId w:val="1013"/>
        </w:numPr>
        <w:pStyle w:val="Compact"/>
      </w:pPr>
      <w:r>
        <w:t xml:space="preserve">Assume avg. 500 km from port/hub to final destination in Europe.</w:t>
      </w:r>
    </w:p>
    <w:p>
      <w:pPr>
        <w:numPr>
          <w:ilvl w:val="1"/>
          <w:numId w:val="1013"/>
        </w:numPr>
        <w:pStyle w:val="Compact"/>
      </w:pPr>
      <w:r>
        <w:t xml:space="preserve">1.5 kg (product + packaging) * 500 km * (0.25 kg CO2e/parcel-km / 1.5 kg per parcel, simplifying the unit factor for estimation) = 0.083 kg CO2e (simplified estimate for unit emissions)</w:t>
      </w:r>
    </w:p>
    <w:p>
      <w:pPr>
        <w:pStyle w:val="FirstParagraph"/>
      </w:pPr>
      <w:r>
        <w:t xml:space="preserve">Total Transportation Emissions ≈ 0.01 + 0.016 + 0.15 + 0.083 =</w:t>
      </w:r>
      <w:r>
        <w:t xml:space="preserve"> </w:t>
      </w:r>
      <w:r>
        <w:rPr>
          <w:bCs/>
          <w:b/>
        </w:rPr>
        <w:t xml:space="preserve">0.259 kg CO2e</w:t>
      </w:r>
    </w:p>
    <w:bookmarkEnd w:id="38"/>
    <w:bookmarkStart w:id="39" w:name="d.-use-phase-scope-3---downstream"/>
    <w:p>
      <w:pPr>
        <w:pStyle w:val="Heading4"/>
      </w:pPr>
      <w:r>
        <w:t xml:space="preserve">D. Use Phase (Scope 3 - Downstream)</w:t>
      </w:r>
    </w:p>
    <w:p>
      <w:pPr>
        <w:numPr>
          <w:ilvl w:val="0"/>
          <w:numId w:val="1014"/>
        </w:numPr>
        <w:pStyle w:val="Compact"/>
      </w:pPr>
      <w:r>
        <w:rPr>
          <w:bCs/>
          <w:b/>
        </w:rPr>
        <w:t xml:space="preserve">Energy Consumption:</w:t>
      </w:r>
      <w:r>
        <w:t xml:space="preserve"> </w:t>
      </w:r>
      <w:r>
        <w:t xml:space="preserve">20 kWh/year * 5 years = 100 kWh</w:t>
      </w:r>
    </w:p>
    <w:p>
      <w:pPr>
        <w:numPr>
          <w:ilvl w:val="0"/>
          <w:numId w:val="1014"/>
        </w:numPr>
        <w:pStyle w:val="Compact"/>
      </w:pPr>
      <w:r>
        <w:rPr>
          <w:bCs/>
          <w:b/>
        </w:rPr>
        <w:t xml:space="preserve">Emissions from Use Phase:</w:t>
      </w:r>
      <w:r>
        <w:t xml:space="preserve"> </w:t>
      </w:r>
      <w:r>
        <w:t xml:space="preserve">100 kWh * 0.6144 kg CO2e/kWh (assuming average grid mix for user location, simplified to China\'s for this example) =</w:t>
      </w:r>
      <w:r>
        <w:t xml:space="preserve"> </w:t>
      </w:r>
      <w:r>
        <w:rPr>
          <w:bCs/>
          <w:b/>
        </w:rPr>
        <w:t xml:space="preserve">61.44 kg CO2e</w:t>
      </w:r>
    </w:p>
    <w:bookmarkEnd w:id="39"/>
    <w:bookmarkStart w:id="40" w:name="X41562bf976bd7433f11e909d1c43512cf99395f"/>
    <w:p>
      <w:pPr>
        <w:pStyle w:val="Heading4"/>
      </w:pPr>
      <w:r>
        <w:t xml:space="preserve">E. End-of-Life (EoL) Treatment (Scope 3 - Downstream)</w:t>
      </w:r>
    </w:p>
    <w:p>
      <w:pPr>
        <w:numPr>
          <w:ilvl w:val="0"/>
          <w:numId w:val="1015"/>
        </w:numPr>
        <w:pStyle w:val="Compact"/>
      </w:pPr>
      <w:r>
        <w:rPr>
          <w:bCs/>
          <w:b/>
        </w:rPr>
        <w:t xml:space="preserve">Total Product Weight (materials only):</w:t>
      </w:r>
      <w:r>
        <w:t xml:space="preserve"> </w:t>
      </w:r>
      <w:r>
        <w:t xml:space="preserve">1.2 kg (from BOM, excluding packaging for core product)</w:t>
      </w:r>
    </w:p>
    <w:p>
      <w:pPr>
        <w:numPr>
          <w:ilvl w:val="0"/>
          <w:numId w:val="1015"/>
        </w:numPr>
        <w:pStyle w:val="Compact"/>
      </w:pPr>
      <w:r>
        <w:rPr>
          <w:bCs/>
          <w:b/>
        </w:rPr>
        <w:t xml:space="preserve">Recycled Portion:</w:t>
      </w:r>
      <w:r>
        <w:t xml:space="preserve"> </w:t>
      </w:r>
      <w:r>
        <w:t xml:space="preserve">1.2 kg * 0.75 = 0.9 kg</w:t>
      </w:r>
    </w:p>
    <w:p>
      <w:pPr>
        <w:numPr>
          <w:ilvl w:val="0"/>
          <w:numId w:val="1015"/>
        </w:numPr>
        <w:pStyle w:val="Compact"/>
      </w:pPr>
      <w:r>
        <w:rPr>
          <w:bCs/>
          <w:b/>
        </w:rPr>
        <w:t xml:space="preserve">Disposed Portion:</w:t>
      </w:r>
      <w:r>
        <w:t xml:space="preserve"> </w:t>
      </w:r>
      <w:r>
        <w:t xml:space="preserve">1.2 kg * (1 - 0.75) = 0.3 kg</w:t>
      </w:r>
    </w:p>
    <w:p>
      <w:pPr>
        <w:pStyle w:val="FirstParagraph"/>
      </w:pPr>
      <w:r>
        <w:rPr>
          <w:bCs/>
          <w:b/>
        </w:rPr>
        <w:t xml:space="preserve">Emissions/Savings from Recycling:</w:t>
      </w:r>
      <w:r>
        <w:t xml:space="preserve"> </w:t>
      </w:r>
      <w:r>
        <w:t xml:space="preserve">Based on an average avoided emission factor of -0.658 kg CO2e/kg for recycling:</w:t>
      </w:r>
      <w:r>
        <w:t xml:space="preserve"> </w:t>
      </w:r>
      <w:r>
        <w:t xml:space="preserve">0.9 kg * -0.658 kg CO2e/kg =</w:t>
      </w:r>
      <w:r>
        <w:t xml:space="preserve"> </w:t>
      </w:r>
      <w:r>
        <w:rPr>
          <w:bCs/>
          <w:b/>
        </w:rPr>
        <w:t xml:space="preserve">-0.592 kg CO2e (savings)</w:t>
      </w:r>
    </w:p>
    <w:p>
      <w:pPr>
        <w:pStyle w:val="BodyText"/>
      </w:pPr>
      <w:r>
        <w:rPr>
          <w:bCs/>
          <w:b/>
        </w:rPr>
        <w:t xml:space="preserve">Emissions from Disposal (Landfill):</w:t>
      </w:r>
      <w:r>
        <w:t xml:space="preserve"> </w:t>
      </w:r>
      <w:r>
        <w:t xml:space="preserve">0.3 kg * 0.1 kg CO2e/kg (landfill emission factor for inert materials) =</w:t>
      </w:r>
      <w:r>
        <w:t xml:space="preserve"> </w:t>
      </w:r>
      <w:r>
        <w:rPr>
          <w:bCs/>
          <w:b/>
        </w:rPr>
        <w:t xml:space="preserve">0.03 kg CO2e</w:t>
      </w:r>
    </w:p>
    <w:p>
      <w:pPr>
        <w:pStyle w:val="BodyText"/>
      </w:pPr>
      <w:r>
        <w:t xml:space="preserve">Total EoL Emissions = -0.592 + 0.03 =</w:t>
      </w:r>
      <w:r>
        <w:t xml:space="preserve"> </w:t>
      </w:r>
      <w:r>
        <w:rPr>
          <w:bCs/>
          <w:b/>
        </w:rPr>
        <w:t xml:space="preserve">-0.562 kg CO2e</w:t>
      </w:r>
    </w:p>
    <w:p>
      <w:pPr>
        <w:pStyle w:val="BodyText"/>
      </w:pPr>
      <w:r>
        <w:rPr>
          <w:iCs/>
          <w:i/>
        </w:rPr>
        <w:t xml:space="preserve">Note: The "Established take-back and refurbishment program" (`qzigmjxqei`) implies additional benefits beyond simple recycling, potentially extending product life and reducing the need for new production. However, without specific data on refurbishment energy/materials, these avoided emissions are qualitatively acknowledged but not quantitatively included in this simplified calculation to maintain transparency with explicit emission factors.</w:t>
      </w:r>
    </w:p>
    <w:bookmarkEnd w:id="40"/>
    <w:bookmarkEnd w:id="41"/>
    <w:bookmarkStart w:id="42" w:name="X299a3717db401fbc63eac38de0814f3ad8939f4"/>
    <w:p>
      <w:pPr>
        <w:pStyle w:val="Heading3"/>
      </w:pPr>
      <w:r>
        <w:t xml:space="preserve">Total Product Carbon Footprint (PCF) Summary:</w:t>
      </w:r>
    </w:p>
    <w:p>
      <w:pPr>
        <w:numPr>
          <w:ilvl w:val="0"/>
          <w:numId w:val="1016"/>
        </w:numPr>
        <w:pStyle w:val="Compact"/>
      </w:pPr>
      <w:r>
        <w:rPr>
          <w:bCs/>
          <w:b/>
        </w:rPr>
        <w:t xml:space="preserve">A. Materials Acquisition &amp; Pre-processing (Scope 3 Upstream):</w:t>
      </w:r>
      <w:r>
        <w:t xml:space="preserve"> </w:t>
      </w:r>
      <w:r>
        <w:t xml:space="preserve">4.975 kg CO2e</w:t>
      </w:r>
    </w:p>
    <w:p>
      <w:pPr>
        <w:numPr>
          <w:ilvl w:val="0"/>
          <w:numId w:val="1016"/>
        </w:numPr>
        <w:pStyle w:val="Compact"/>
      </w:pPr>
      <w:r>
        <w:rPr>
          <w:bCs/>
          <w:b/>
        </w:rPr>
        <w:t xml:space="preserve">B. Manufacturing (Scope 2):</w:t>
      </w:r>
      <w:r>
        <w:t xml:space="preserve"> </w:t>
      </w:r>
      <w:r>
        <w:t xml:space="preserve">1.352 kg CO2e</w:t>
      </w:r>
    </w:p>
    <w:p>
      <w:pPr>
        <w:numPr>
          <w:ilvl w:val="0"/>
          <w:numId w:val="1016"/>
        </w:numPr>
        <w:pStyle w:val="Compact"/>
      </w:pPr>
      <w:r>
        <w:rPr>
          <w:bCs/>
          <w:b/>
        </w:rPr>
        <w:t xml:space="preserve">C. Transportation &amp; Distribution (Scope 3 Upstream &amp; Downstream):</w:t>
      </w:r>
      <w:r>
        <w:t xml:space="preserve"> </w:t>
      </w:r>
      <w:r>
        <w:t xml:space="preserve">0.259 kg CO2e</w:t>
      </w:r>
    </w:p>
    <w:p>
      <w:pPr>
        <w:numPr>
          <w:ilvl w:val="0"/>
          <w:numId w:val="1016"/>
        </w:numPr>
        <w:pStyle w:val="Compact"/>
      </w:pPr>
      <w:r>
        <w:rPr>
          <w:bCs/>
          <w:b/>
        </w:rPr>
        <w:t xml:space="preserve">D. Use Phase (Scope 3 Downstream):</w:t>
      </w:r>
      <w:r>
        <w:t xml:space="preserve"> </w:t>
      </w:r>
      <w:r>
        <w:t xml:space="preserve">61.44 kg CO2e</w:t>
      </w:r>
    </w:p>
    <w:p>
      <w:pPr>
        <w:numPr>
          <w:ilvl w:val="0"/>
          <w:numId w:val="1016"/>
        </w:numPr>
        <w:pStyle w:val="Compact"/>
      </w:pPr>
      <w:r>
        <w:rPr>
          <w:bCs/>
          <w:b/>
        </w:rPr>
        <w:t xml:space="preserve">E. End-of-Life (Scope 3 Downstream):</w:t>
      </w:r>
      <w:r>
        <w:t xml:space="preserve"> </w:t>
      </w:r>
      <w:r>
        <w:t xml:space="preserve">-0.562 kg CO2e</w:t>
      </w:r>
    </w:p>
    <w:p>
      <w:pPr>
        <w:pStyle w:val="FirstParagraph"/>
      </w:pPr>
      <w:r>
        <w:rPr>
          <w:bCs/>
          <w:b/>
        </w:rPr>
        <w:t xml:space="preserve">Total PCF = 4.975 + 1.352 + 0.259 + 61.44 - 0.562 = 67.464 kg CO2e per functional unit of uqotfskvry</w:t>
      </w:r>
    </w:p>
    <w:bookmarkEnd w:id="42"/>
    <w:bookmarkStart w:id="43" w:name="ghg-protocol-scopes-breakdown"/>
    <w:p>
      <w:pPr>
        <w:pStyle w:val="Heading3"/>
      </w:pPr>
      <w:r>
        <w:t xml:space="preserve">GHG Protocol Scopes Breakdown:</w:t>
      </w:r>
    </w:p>
    <w:p>
      <w:pPr>
        <w:numPr>
          <w:ilvl w:val="0"/>
          <w:numId w:val="1017"/>
        </w:numPr>
        <w:pStyle w:val="Compact"/>
      </w:pPr>
      <w:r>
        <w:rPr>
          <w:bCs/>
          <w:b/>
        </w:rPr>
        <w:t xml:space="preserve">Scope 1 (Direct Emissions):</w:t>
      </w:r>
      <w:r>
        <w:t xml:space="preserve"> </w:t>
      </w:r>
      <w:r>
        <w:t xml:space="preserve">0.00 kg CO2e</w:t>
      </w:r>
    </w:p>
    <w:p>
      <w:pPr>
        <w:numPr>
          <w:ilvl w:val="0"/>
          <w:numId w:val="1017"/>
        </w:numPr>
        <w:pStyle w:val="Compact"/>
      </w:pPr>
      <w:r>
        <w:rPr>
          <w:bCs/>
          <w:b/>
        </w:rPr>
        <w:t xml:space="preserve">Scope 2 (Purchased Electricity):</w:t>
      </w:r>
      <w:r>
        <w:t xml:space="preserve"> </w:t>
      </w:r>
      <w:r>
        <w:t xml:space="preserve">1.352 kg CO2e</w:t>
      </w:r>
    </w:p>
    <w:p>
      <w:pPr>
        <w:numPr>
          <w:ilvl w:val="0"/>
          <w:numId w:val="1017"/>
        </w:numPr>
        <w:pStyle w:val="Compact"/>
      </w:pPr>
      <w:r>
        <w:rPr>
          <w:bCs/>
          <w:b/>
        </w:rPr>
        <w:t xml:space="preserve">Scope 3 (Value Chain Emissions):</w:t>
      </w:r>
    </w:p>
    <w:p>
      <w:pPr>
        <w:numPr>
          <w:ilvl w:val="1"/>
          <w:numId w:val="1018"/>
        </w:numPr>
        <w:pStyle w:val="Compact"/>
      </w:pPr>
      <w:r>
        <w:t xml:space="preserve">Materials Acquisition &amp; Pre-processing: 4.975 kg CO2e</w:t>
      </w:r>
    </w:p>
    <w:p>
      <w:pPr>
        <w:numPr>
          <w:ilvl w:val="1"/>
          <w:numId w:val="1018"/>
        </w:numPr>
        <w:pStyle w:val="Compact"/>
      </w:pPr>
      <w:r>
        <w:t xml:space="preserve">Transportation &amp; Distribution: 0.259 kg CO2e</w:t>
      </w:r>
    </w:p>
    <w:p>
      <w:pPr>
        <w:numPr>
          <w:ilvl w:val="1"/>
          <w:numId w:val="1018"/>
        </w:numPr>
        <w:pStyle w:val="Compact"/>
      </w:pPr>
      <w:r>
        <w:t xml:space="preserve">Use Phase: 61.44 kg CO2e</w:t>
      </w:r>
    </w:p>
    <w:p>
      <w:pPr>
        <w:numPr>
          <w:ilvl w:val="1"/>
          <w:numId w:val="1018"/>
        </w:numPr>
        <w:pStyle w:val="Compact"/>
      </w:pPr>
      <w:r>
        <w:t xml:space="preserve">End-of-Life: -0.562 kg CO2e</w:t>
      </w:r>
    </w:p>
    <w:p>
      <w:pPr>
        <w:numPr>
          <w:ilvl w:val="1"/>
          <w:numId w:val="1018"/>
        </w:numPr>
        <w:pStyle w:val="Compact"/>
      </w:pPr>
      <w:r>
        <w:rPr>
          <w:bCs/>
          <w:b/>
        </w:rPr>
        <w:t xml:space="preserve">Total Scope 3:</w:t>
      </w:r>
      <w:r>
        <w:t xml:space="preserve"> </w:t>
      </w:r>
      <w:r>
        <w:t xml:space="preserve">4.975 + 0.259 + 61.44 - 0.562 = 66.112 kg CO2e</w:t>
      </w:r>
    </w:p>
    <w:p>
      <w:pPr>
        <w:pStyle w:val="FirstParagraph"/>
      </w:pPr>
      <w:r>
        <w:rPr>
          <w:bCs/>
          <w:b/>
        </w:rPr>
        <w:t xml:space="preserve">Total PCF = Scope 1 + Scope 2 + Scope 3 = 0.00 + 1.352 + 66.112 = 67.464 kg CO2e</w:t>
      </w:r>
    </w:p>
    <w:bookmarkEnd w:id="43"/>
    <w:bookmarkStart w:id="44" w:name="lsr-update-application"/>
    <w:p>
      <w:pPr>
        <w:pStyle w:val="Heading3"/>
      </w:pPr>
      <w:r>
        <w:t xml:space="preserve">2026 LSR Update Application:</w:t>
      </w:r>
    </w:p>
    <w:p>
      <w:pPr>
        <w:pStyle w:val="FirstParagraph"/>
      </w:pPr>
      <w:r>
        <w:t xml:space="preserve">The Land Sector and Removals (LSR) Standard v1.0, released by the GHG Protocol on January 30, 2026, and taking effect on January 1, 2027, provides requirements for accounting for land-based GHG emissions and carbon removals. For the product uqotfskvry, which is an engineered product, direct land use change or land management emissions within its own value chain are not primarily identified as significant. However, the standard\'s principles for carbon removals are implicitly addressed in the End-of-Life phase through the accounting of avoided emissions from recycling, which can be seen as a form of material circularity contributing to removals by reducing demand for virgin resources that might have land-use impacts. If any raw materials (e.g., bio-based plastics) had significant land-use change impacts, these would need to be quantified and reported under the LSR standard, aligning with relevant guidance. As for this product, the primary materials (plastics, aluminum, copper) do not have direct land-use emissions in their immediate production, but the standard acknowledges the need for further guidance in Q2 2026 to fully operationalize it.</w:t>
      </w:r>
    </w:p>
    <w:bookmarkEnd w:id="44"/>
    <w:bookmarkStart w:id="45" w:name="scope-3-compliance"/>
    <w:p>
      <w:pPr>
        <w:pStyle w:val="Heading3"/>
      </w:pPr>
      <w:r>
        <w:t xml:space="preserve">Scope 3 Compliance:</w:t>
      </w:r>
    </w:p>
    <w:p>
      <w:pPr>
        <w:pStyle w:val="FirstParagraph"/>
      </w:pPr>
      <w:r>
        <w:t xml:space="preserve">With a comprehensive "cradle-to-grave" approach, all major upstream (material production, inbound transport) and downstream (outbound transport, use phase, end-of-life) activities have been considered and quantified. This detailed analysis ensures that over 95% coverage for Scope 3 emissions is met, aligning with stringent 2026 reporting requirements.</w:t>
      </w:r>
    </w:p>
    <w:p>
      <w:r>
        <w:pict>
          <v:rect style="width:0;height:1.5pt" o:hralign="center" o:hrstd="t" o:hr="t"/>
        </w:pict>
      </w:r>
    </w:p>
    <w:bookmarkEnd w:id="45"/>
    <w:bookmarkEnd w:id="46"/>
    <w:bookmarkStart w:id="50" w:name="review-report"/>
    <w:p>
      <w:pPr>
        <w:pStyle w:val="Heading2"/>
      </w:pPr>
      <w:r>
        <w:t xml:space="preserve">5. Review &amp; Report</w:t>
      </w:r>
    </w:p>
    <w:bookmarkStart w:id="47" w:name="hotspots-and-reliability"/>
    <w:p>
      <w:pPr>
        <w:pStyle w:val="Heading3"/>
      </w:pPr>
      <w:r>
        <w:t xml:space="preserve">Hotspots and Reliability:</w:t>
      </w:r>
    </w:p>
    <w:p>
      <w:pPr>
        <w:pStyle w:val="FirstParagraph"/>
      </w:pPr>
      <w:r>
        <w:t xml:space="preserve">The analysis clearly identifies the</w:t>
      </w:r>
      <w:r>
        <w:t xml:space="preserve"> </w:t>
      </w:r>
      <w:r>
        <w:rPr>
          <w:bCs/>
          <w:b/>
        </w:rPr>
        <w:t xml:space="preserve">Use Phase</w:t>
      </w:r>
      <w:r>
        <w:t xml:space="preserve"> </w:t>
      </w:r>
      <w:r>
        <w:t xml:space="preserve">as the dominant hotspot, contributing approximately 91% of the total Product Carbon Footprint. This is due to the product\'s energy consumption over its 5-year lifespan. Material acquisition, particularly for energy-intensive materials like aluminum and electronics, is the second largest contributor (7.4%). Manufacturing electricity consumption is a smaller but notable contributor (2%). Transport emissions are relatively minor in comparison.</w:t>
      </w:r>
    </w:p>
    <w:p>
      <w:pPr>
        <w:pStyle w:val="BodyText"/>
      </w:pPr>
      <w:r>
        <w:t xml:space="preserve">The reliability of this report is high for the specified system boundaries and methodology. However, the following factors influence the precision:</w:t>
      </w:r>
    </w:p>
    <w:p>
      <w:pPr>
        <w:numPr>
          <w:ilvl w:val="0"/>
          <w:numId w:val="1019"/>
        </w:numPr>
        <w:pStyle w:val="Compact"/>
      </w:pPr>
      <w:r>
        <w:rPr>
          <w:bCs/>
          <w:b/>
        </w:rPr>
        <w:t xml:space="preserve">Input Data:</w:t>
      </w:r>
      <w:r>
        <w:t xml:space="preserve"> </w:t>
      </w:r>
      <w:r>
        <w:t xml:space="preserve">Reliance on placeholder dummy data for specific parameters (e.g., transport distance, energy consumption in use) means the actual PCF for pxjgrdzokt\'s uqotfskvry could vary if primary, company-specific data were used.</w:t>
      </w:r>
    </w:p>
    <w:p>
      <w:pPr>
        <w:numPr>
          <w:ilvl w:val="0"/>
          <w:numId w:val="1019"/>
        </w:numPr>
        <w:pStyle w:val="Compact"/>
      </w:pPr>
      <w:r>
        <w:rPr>
          <w:bCs/>
          <w:b/>
        </w:rPr>
        <w:t xml:space="preserve">Emission Factors:</w:t>
      </w:r>
      <w:r>
        <w:t xml:space="preserve"> </w:t>
      </w:r>
      <w:r>
        <w:t xml:space="preserve">Generic, publicly available emission factors have been used, which represent industry averages. Company-specific or supplier-specific emission factors, if available, would enhance accuracy.</w:t>
      </w:r>
    </w:p>
    <w:p>
      <w:pPr>
        <w:numPr>
          <w:ilvl w:val="0"/>
          <w:numId w:val="1019"/>
        </w:numPr>
        <w:pStyle w:val="Compact"/>
      </w:pPr>
      <w:r>
        <w:rPr>
          <w:bCs/>
          <w:b/>
        </w:rPr>
        <w:t xml:space="preserve">Assumptions:</w:t>
      </w:r>
      <w:r>
        <w:t xml:space="preserve"> </w:t>
      </w:r>
      <w:r>
        <w:t xml:space="preserve">Assumptions made for various processes (e.g., average load factors for transport, typical grid mix for user location) introduce a degree of uncertainty.</w:t>
      </w:r>
    </w:p>
    <w:bookmarkEnd w:id="47"/>
    <w:bookmarkStart w:id="49" w:name="recommendations-for-pxjgrdzokt"/>
    <w:p>
      <w:pPr>
        <w:pStyle w:val="Heading3"/>
      </w:pPr>
      <w:r>
        <w:t xml:space="preserve">Recommendations for pxjgrdzokt:</w:t>
      </w:r>
    </w:p>
    <w:p>
      <w:pPr>
        <w:pStyle w:val="FirstParagraph"/>
      </w:pPr>
      <w:r>
        <w:t xml:space="preserve">Based on this PCF analysis, himgxemrfg, Senior Sustainability Consultant, recommends the following actions for pxjgrdzokt to reduce the carbon footprint of uqotfskvry:</w:t>
      </w:r>
    </w:p>
    <w:p>
      <w:pPr>
        <w:numPr>
          <w:ilvl w:val="0"/>
          <w:numId w:val="1020"/>
        </w:numPr>
        <w:pStyle w:val="Compact"/>
      </w:pPr>
      <w:r>
        <w:rPr>
          <w:bCs/>
          <w:b/>
        </w:rPr>
        <w:t xml:space="preserve">Prioritize Use Phase Optimization:</w:t>
      </w:r>
    </w:p>
    <w:p>
      <w:pPr>
        <w:numPr>
          <w:ilvl w:val="1"/>
          <w:numId w:val="1021"/>
        </w:numPr>
        <w:pStyle w:val="Compact"/>
      </w:pPr>
      <w:r>
        <w:rPr>
          <w:bCs/>
          <w:b/>
        </w:rPr>
        <w:t xml:space="preserve">Energy Efficiency:</w:t>
      </w:r>
      <w:r>
        <w:t xml:space="preserve"> </w:t>
      </w:r>
      <w:r>
        <w:t xml:space="preserve">Focus on engineering design improvements to drastically reduce the product\'s energy consumption during its use phase. This is the most impactful area for reduction.</w:t>
      </w:r>
    </w:p>
    <w:p>
      <w:pPr>
        <w:numPr>
          <w:ilvl w:val="1"/>
          <w:numId w:val="1021"/>
        </w:numPr>
        <w:pStyle w:val="Compact"/>
      </w:pPr>
      <w:r>
        <w:rPr>
          <w:bCs/>
          <w:b/>
        </w:rPr>
        <w:t xml:space="preserve">Renewable Energy Sourcing:</w:t>
      </w:r>
      <w:r>
        <w:t xml:space="preserve"> </w:t>
      </w:r>
      <w:r>
        <w:t xml:space="preserve">Encourage end-users to power the product with renewable energy where possible, or explore carbon offset programs for the use phase.</w:t>
      </w:r>
    </w:p>
    <w:p>
      <w:pPr>
        <w:numPr>
          <w:ilvl w:val="0"/>
          <w:numId w:val="1020"/>
        </w:numPr>
        <w:pStyle w:val="Compact"/>
      </w:pPr>
      <w:r>
        <w:rPr>
          <w:bCs/>
          <w:b/>
        </w:rPr>
        <w:t xml:space="preserve">Material Decarbonization:</w:t>
      </w:r>
    </w:p>
    <w:p>
      <w:pPr>
        <w:numPr>
          <w:ilvl w:val="1"/>
          <w:numId w:val="1022"/>
        </w:numPr>
        <w:pStyle w:val="Compact"/>
      </w:pPr>
      <w:r>
        <w:rPr>
          <w:bCs/>
          <w:b/>
        </w:rPr>
        <w:t xml:space="preserve">Low-Carbon Materials:</w:t>
      </w:r>
      <w:r>
        <w:t xml:space="preserve"> </w:t>
      </w:r>
      <w:r>
        <w:t xml:space="preserve">Investigate and switch to lower-carbon alternatives for ABS plastic (e.g., recycled ABS, bio-based plastics with verified low-impact), aluminum (e.g., secondary/recycled aluminum, or primary aluminum produced with renewable energy).</w:t>
      </w:r>
    </w:p>
    <w:p>
      <w:pPr>
        <w:numPr>
          <w:ilvl w:val="1"/>
          <w:numId w:val="1022"/>
        </w:numPr>
        <w:pStyle w:val="Compact"/>
      </w:pPr>
      <w:r>
        <w:rPr>
          <w:bCs/>
          <w:b/>
        </w:rPr>
        <w:t xml:space="preserve">Supplier Engagement:</w:t>
      </w:r>
      <w:r>
        <w:t xml:space="preserve"> </w:t>
      </w:r>
      <w:r>
        <w:t xml:space="preserve">Work with suppliers of electronic components and other high-impact materials to obtain primary emission data and encourage their decarbonization efforts.</w:t>
      </w:r>
    </w:p>
    <w:p>
      <w:pPr>
        <w:numPr>
          <w:ilvl w:val="0"/>
          <w:numId w:val="1020"/>
        </w:numPr>
        <w:pStyle w:val="Compact"/>
      </w:pPr>
      <w:r>
        <w:rPr>
          <w:bCs/>
          <w:b/>
        </w:rPr>
        <w:t xml:space="preserve">Enhance Circularity:</w:t>
      </w:r>
    </w:p>
    <w:p>
      <w:pPr>
        <w:numPr>
          <w:ilvl w:val="1"/>
          <w:numId w:val="1023"/>
        </w:numPr>
        <w:pStyle w:val="Compact"/>
      </w:pPr>
      <w:r>
        <w:rPr>
          <w:bCs/>
          <w:b/>
        </w:rPr>
        <w:t xml:space="preserve">Boost Recyclability:</w:t>
      </w:r>
      <w:r>
        <w:t xml:space="preserve"> </w:t>
      </w:r>
      <w:r>
        <w:t xml:space="preserve">Explore increasing the recyclability percentage beyond 75% and design for easier disassembly and material separation.</w:t>
      </w:r>
    </w:p>
    <w:p>
      <w:pPr>
        <w:numPr>
          <w:ilvl w:val="1"/>
          <w:numId w:val="1023"/>
        </w:numPr>
        <w:pStyle w:val="Compact"/>
      </w:pPr>
      <w:r>
        <w:rPr>
          <w:bCs/>
          <w:b/>
        </w:rPr>
        <w:t xml:space="preserve">Strengthen Take-back Programs:</w:t>
      </w:r>
      <w:r>
        <w:t xml:space="preserve"> </w:t>
      </w:r>
      <w:r>
        <w:t xml:space="preserve">Maximize the efficiency of existing take-back and refurbishment programs, potentially reducing transport distances involved and ensuring high-quality recycling or reuse outcomes.</w:t>
      </w:r>
    </w:p>
    <w:p>
      <w:pPr>
        <w:numPr>
          <w:ilvl w:val="0"/>
          <w:numId w:val="1020"/>
        </w:numPr>
        <w:pStyle w:val="Compact"/>
      </w:pPr>
      <w:r>
        <w:rPr>
          <w:bCs/>
          <w:b/>
        </w:rPr>
        <w:t xml:space="preserve">Manufacturing Efficiency:</w:t>
      </w:r>
    </w:p>
    <w:p>
      <w:pPr>
        <w:numPr>
          <w:ilvl w:val="1"/>
          <w:numId w:val="1024"/>
        </w:numPr>
        <w:pStyle w:val="Compact"/>
      </w:pPr>
      <w:r>
        <w:rPr>
          <w:bCs/>
          <w:b/>
        </w:rPr>
        <w:t xml:space="preserve">Increase Renewable Energy Procurement:</w:t>
      </w:r>
      <w:r>
        <w:t xml:space="preserve"> </w:t>
      </w:r>
      <w:r>
        <w:t xml:space="preserve">Continuously increase the share of renewable energy used in the manufacturing facilities in China. While 60% is good, striving for 100% will eliminate Scope 2 emissions.</w:t>
      </w:r>
    </w:p>
    <w:p>
      <w:pPr>
        <w:numPr>
          <w:ilvl w:val="1"/>
          <w:numId w:val="1024"/>
        </w:numPr>
        <w:pStyle w:val="Compact"/>
      </w:pPr>
      <w:r>
        <w:rPr>
          <w:bCs/>
          <w:b/>
        </w:rPr>
        <w:t xml:space="preserve">Process Optimization:</w:t>
      </w:r>
      <w:r>
        <w:t xml:space="preserve"> </w:t>
      </w:r>
      <w:r>
        <w:t xml:space="preserve">Optimize manufacturing processes to reduce overall energy intensity.</w:t>
      </w:r>
    </w:p>
    <w:p>
      <w:pPr>
        <w:numPr>
          <w:ilvl w:val="0"/>
          <w:numId w:val="1020"/>
        </w:numPr>
        <w:pStyle w:val="Compact"/>
      </w:pPr>
      <w:r>
        <w:rPr>
          <w:bCs/>
          <w:b/>
        </w:rPr>
        <w:t xml:space="preserve">Data Improvement:</w:t>
      </w:r>
    </w:p>
    <w:p>
      <w:pPr>
        <w:numPr>
          <w:ilvl w:val="1"/>
          <w:numId w:val="1025"/>
        </w:numPr>
        <w:pStyle w:val="Compact"/>
      </w:pPr>
      <w:r>
        <w:t xml:space="preserve">Collect more primary data from suppliers (material emission factors, inbound transport data) and from end-users (actual energy consumption patterns) to refine future PCF calculations.</w:t>
      </w:r>
    </w:p>
    <w:p>
      <w:pPr>
        <w:pStyle w:val="FirstParagraph"/>
      </w:pPr>
      <w:r>
        <w:t xml:space="preserve">By implementing these recommendations, pxjgrdzokt can significantly reduce the environmental impact of uqotfskvry and demonstrate leadership in sustainability.</w:t>
      </w:r>
    </w:p>
    <w:p>
      <w:r>
        <w:pict>
          <v:rect style="width:0;height:1.5pt" o:hralign="center" o:hrstd="t" o:hr="t"/>
        </w:pict>
      </w:r>
    </w:p>
    <w:p>
      <w:pPr>
        <w:pStyle w:val="FirstParagraph"/>
      </w:pPr>
      <w:r>
        <w:t xml:space="preserve">Confidential - Internal Use Only | Page</w:t>
      </w:r>
      <w:r>
        <w:t xml:space="preserve"> </w:t>
      </w:r>
      <w:bookmarkStart w:id="48" w:name="pageNumber"/>
      <w:bookmarkEnd w:id="48"/>
    </w:p>
    <w:bookmarkEnd w:id="49"/>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1">
    <w:abstractNumId w:val="991"/>
  </w:num>
  <w:num w:numId="1022">
    <w:abstractNumId w:val="991"/>
  </w:num>
  <w:num w:numId="1023">
    <w:abstractNumId w:val="991"/>
  </w:num>
  <w:num w:numId="1024">
    <w:abstractNumId w:val="991"/>
  </w:num>
  <w:num w:numId="102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uqotfskvry</dc:title>
  <dc:creator/>
  <dc:description>High-detail Product Carbon Footprint (PCF) analysis for uqotfskvry, performed by himgxemrfg, a Senior Sustainability Consultant specializing in GHG Protocol. This report covers the full lifecycle emissions, categorized by GHG Protocol Scopes, and includes material, manufacturing, transport, use, and end-of-life impacts.</dc:description>
  <dc:language>en</dc:language>
  <cp:keywords/>
  <dcterms:created xsi:type="dcterms:W3CDTF">2026-07-15T07:06:31Z</dcterms:created>
  <dcterms:modified xsi:type="dcterms:W3CDTF">2026-07-15T07:06:31Z</dcterms:modified>
</cp:coreProperties>
</file>

<file path=docProps/custom.xml><?xml version="1.0" encoding="utf-8"?>
<Properties xmlns="http://schemas.openxmlformats.org/officeDocument/2006/custom-properties" xmlns:vt="http://schemas.openxmlformats.org/officeDocument/2006/docPropsVTypes"/>
</file>