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uqelhsimdo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w:t>
      </w:r>
      <w:r>
        <w:t xml:space="preserve"> </w:t>
      </w:r>
      <w:r>
        <w:rPr>
          <w:bCs/>
          <w:b/>
        </w:rPr>
        <w:t xml:space="preserve">uqelhsimdo</w:t>
      </w:r>
    </w:p>
    <w:p>
      <w:pPr>
        <w:pStyle w:val="BodyText"/>
      </w:pPr>
      <w:r>
        <w:t xml:space="preserve">Company:</w:t>
      </w:r>
      <w:r>
        <w:t xml:space="preserve"> </w:t>
      </w:r>
      <w:r>
        <w:rPr>
          <w:bCs/>
          <w:b/>
        </w:rPr>
        <w:t xml:space="preserve">redjekynsk</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gmomuhyiht</w:t>
      </w:r>
    </w:p>
    <w:p>
      <w:pPr>
        <w:pStyle w:val="BodyText"/>
      </w:pPr>
      <w:r>
        <w:t xml:space="preserve">Disclaimer: This report is generated based on available data and industry standards, incorporating specific parameters and illustrative emission factors where detailed primary data was not provided.</w:t>
      </w:r>
    </w:p>
    <w:bookmarkEnd w:id="20"/>
    <w:p>
      <w:r>
        <w:pict>
          <v:rect style="width:0;height:1.5pt" o:hralign="center" o:hrstd="t" o:hr="t"/>
        </w:pict>
      </w:r>
    </w:p>
    <w:bookmarkStart w:id="46" w:name="X87d994a422f8b92fd8ac6155369ab104218c91c"/>
    <w:p>
      <w:pPr>
        <w:pStyle w:val="Heading1"/>
      </w:pPr>
      <w:r>
        <w:t xml:space="preserve">Product Carbon Footprint Analysis Report: uqelhsimdo</w:t>
      </w:r>
    </w:p>
    <w:p>
      <w:pPr>
        <w:pStyle w:val="FirstParagraph"/>
      </w:pPr>
      <w:r>
        <w:t xml:space="preserve">Generated Date: June 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uqelhsimdo</w:t>
      </w:r>
      <w:r>
        <w:t xml:space="preserve">, manufactured by</w:t>
      </w:r>
      <w:r>
        <w:t xml:space="preserve"> </w:t>
      </w:r>
      <w:r>
        <w:rPr>
          <w:bCs/>
          <w:b/>
        </w:rPr>
        <w:t xml:space="preserve">redjekynsk</w:t>
      </w:r>
      <w:r>
        <w:t xml:space="preserve">. The analysis adheres to the Greenhouse Gas (GHG) Protocol, incorporating the latest 2026 updates including the Land Sector and Removals (LSR) Standard and stringent Scope 3 coverage requirements. The PCF has been calculated from a comprehensive cradle-to-grave perspective, encompassing raw material acquisition, production, distribution, use, and end-of-life phases, with a primary system boundary specified as \'factory_gate\' for initial reporting, supplemented by a broader lifecycle view as per detailed parameters.</w:t>
      </w:r>
    </w:p>
    <w:p>
      <w:pPr>
        <w:pStyle w:val="BodyText"/>
      </w:pPr>
      <w:r>
        <w:t xml:space="preserve">The total estimated Product Carbon Footprint for one functional unit of</w:t>
      </w:r>
      <w:r>
        <w:t xml:space="preserve"> </w:t>
      </w:r>
      <w:r>
        <w:rPr>
          <w:bCs/>
          <w:b/>
        </w:rPr>
        <w:t xml:space="preserve">uqelhsimdo</w:t>
      </w:r>
      <w:r>
        <w:t xml:space="preserve"> </w:t>
      </w:r>
      <w:r>
        <w:t xml:space="preserve">is</w:t>
      </w:r>
      <w:r>
        <w:t xml:space="preserve"> </w:t>
      </w:r>
      <w:r>
        <w:rPr>
          <w:bCs/>
          <w:b/>
        </w:rPr>
        <w:t xml:space="preserve">53.05 kgCO2e</w:t>
      </w:r>
      <w:r>
        <w:t xml:space="preserve"> </w:t>
      </w:r>
      <w:r>
        <w:t xml:space="preserve">over its entire lifecycle. The primary hotspots identified are the use phase due to product energy consumption and the material acquisition phase, highlighting key areas for emission reduction strategies.</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The increasing urgency of climate change necessitates a comprehensive understanding of environmental impacts across product lifecycles. This Product Carbon Footprint (PCF) analysis provides</w:t>
      </w:r>
      <w:r>
        <w:t xml:space="preserve"> </w:t>
      </w:r>
      <w:r>
        <w:rPr>
          <w:bCs/>
          <w:b/>
        </w:rPr>
        <w:t xml:space="preserve">redjekynsk</w:t>
      </w:r>
      <w:r>
        <w:t xml:space="preserve"> </w:t>
      </w:r>
      <w:r>
        <w:t xml:space="preserve">with a detailed quantification of the greenhouse gas (GHG) emissions associated with its product,</w:t>
      </w:r>
      <w:r>
        <w:t xml:space="preserve"> </w:t>
      </w:r>
      <w:r>
        <w:rPr>
          <w:bCs/>
          <w:b/>
        </w:rPr>
        <w:t xml:space="preserve">uqelhsimdo</w:t>
      </w:r>
      <w:r>
        <w:t xml:space="preserve">. Conducted by</w:t>
      </w:r>
      <w:r>
        <w:t xml:space="preserve"> </w:t>
      </w:r>
      <w:r>
        <w:rPr>
          <w:bCs/>
          <w:b/>
        </w:rPr>
        <w:t xml:space="preserve">gmomuhyiht</w:t>
      </w:r>
      <w:r>
        <w:t xml:space="preserve">, a Senior Sustainability Consultant specializing in the GHG Protocol, this report serves to identify emission hotspots, inform strategic decarbonization efforts, and ensure compliance with evolving reporting standards.</w:t>
      </w:r>
    </w:p>
    <w:p>
      <w:pPr>
        <w:pStyle w:val="BodyText"/>
      </w:pPr>
      <w:r>
        <w:t xml:space="preserve">The product under analysis is</w:t>
      </w:r>
      <w:r>
        <w:t xml:space="preserve"> </w:t>
      </w:r>
      <w:r>
        <w:rPr>
          <w:bCs/>
          <w:b/>
        </w:rPr>
        <w:t xml:space="preserve">uqelhsimdo</w:t>
      </w:r>
      <w:r>
        <w:t xml:space="preserve">. The functional unit for this study is defined as</w:t>
      </w:r>
      <w:r>
        <w:t xml:space="preserve"> </w:t>
      </w:r>
      <w:r>
        <w:rPr>
          <w:bCs/>
          <w:b/>
        </w:rPr>
        <w:t xml:space="preserve">1.0 unit</w:t>
      </w:r>
      <w:r>
        <w:t xml:space="preserve"> </w:t>
      </w:r>
      <w:r>
        <w:t xml:space="preserve">of</w:t>
      </w:r>
      <w:r>
        <w:t xml:space="preserve"> </w:t>
      </w:r>
      <w:r>
        <w:rPr>
          <w:bCs/>
          <w:b/>
        </w:rPr>
        <w:t xml:space="preserve">uqelhsimdo</w:t>
      </w:r>
      <w:r>
        <w:t xml:space="preserve">.</w:t>
      </w:r>
    </w:p>
    <w:p>
      <w:r>
        <w:pict>
          <v:rect style="width:0;height:1.5pt" o:hralign="center" o:hrstd="t" o:hr="t"/>
        </w:pict>
      </w:r>
    </w:p>
    <w:bookmarkEnd w:id="22"/>
    <w:bookmarkStart w:id="31" w:name="methodology"/>
    <w:p>
      <w:pPr>
        <w:pStyle w:val="Heading2"/>
      </w:pPr>
      <w:r>
        <w:t xml:space="preserve">2. Methodology</w:t>
      </w:r>
    </w:p>
    <w:p>
      <w:pPr>
        <w:pStyle w:val="FirstParagraph"/>
      </w:pPr>
      <w:r>
        <w:t xml:space="preserve">This PCF analysis for</w:t>
      </w:r>
      <w:r>
        <w:t xml:space="preserve"> </w:t>
      </w:r>
      <w:r>
        <w:rPr>
          <w:bCs/>
          <w:b/>
        </w:rPr>
        <w:t xml:space="preserve">uqelhsimdo</w:t>
      </w:r>
      <w:r>
        <w:t xml:space="preserve"> </w:t>
      </w:r>
      <w:r>
        <w:t xml:space="preserve">follows the five-step methodology prescribed by the GHG Protocol, ensuring a robust and transparent assessment of environmental impacts.</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reference unit for quantification is</w:t>
      </w:r>
      <w:r>
        <w:t xml:space="preserve"> </w:t>
      </w:r>
      <w:r>
        <w:rPr>
          <w:bCs/>
          <w:b/>
        </w:rPr>
        <w:t xml:space="preserve">1.0 unit of uqelhsimdo</w:t>
      </w:r>
      <w:r>
        <w:t xml:space="preserve">.</w:t>
      </w:r>
    </w:p>
    <w:p>
      <w:pPr>
        <w:numPr>
          <w:ilvl w:val="0"/>
          <w:numId w:val="1001"/>
        </w:numPr>
        <w:pStyle w:val="Compact"/>
      </w:pPr>
      <w:r>
        <w:rPr>
          <w:bCs/>
          <w:b/>
        </w:rPr>
        <w:t xml:space="preserve">System Boundary:</w:t>
      </w:r>
      <w:r>
        <w:t xml:space="preserve"> </w:t>
      </w:r>
      <w:r>
        <w:t xml:space="preserve">The explicit system boundary parameter provided is</w:t>
      </w:r>
      <w:r>
        <w:t xml:space="preserve"> </w:t>
      </w:r>
      <w:r>
        <w:rPr>
          <w:bCs/>
          <w:b/>
        </w:rPr>
        <w:t xml:space="preserve">factory_gate</w:t>
      </w:r>
      <w:r>
        <w:t xml:space="preserve">. However, to fulfill the detailed analysis requirements encompassing product lifespan, energy consumption in use, recyclability, and circular programs, the assessment has been extended to a comprehensive</w:t>
      </w:r>
      <w:r>
        <w:t xml:space="preserve"> </w:t>
      </w:r>
      <w:r>
        <w:rPr>
          <w:iCs/>
          <w:i/>
        </w:rPr>
        <w:t xml:space="preserve">cradle-to-grave</w:t>
      </w:r>
      <w:r>
        <w:t xml:space="preserve"> </w:t>
      </w:r>
      <w:r>
        <w:t xml:space="preserve">approach. This allows for a holistic understanding of the product\'s environmental impact throughout its entire lifecycle.</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w:t>
      </w:r>
      <w:r>
        <w:t xml:space="preserve"> </w:t>
      </w:r>
      <w:r>
        <w:rPr>
          <w:bCs/>
          <w:b/>
        </w:rPr>
        <w:t xml:space="preserve">Europe Focused</w:t>
      </w:r>
      <w:r>
        <w:t xml:space="preserve"> </w:t>
      </w:r>
      <w:r>
        <w:t xml:space="preserve">supply chain, indicating significant material and component sourcing from Europe.</w:t>
      </w:r>
    </w:p>
    <w:p>
      <w:pPr>
        <w:numPr>
          <w:ilvl w:val="0"/>
          <w:numId w:val="1001"/>
        </w:numPr>
        <w:pStyle w:val="Compact"/>
      </w:pPr>
      <w:r>
        <w:rPr>
          <w:bCs/>
          <w:b/>
        </w:rPr>
        <w:t xml:space="preserve">Allocation:</w:t>
      </w:r>
      <w:r>
        <w:t xml:space="preserve"> </w:t>
      </w:r>
      <w:r>
        <w:t xml:space="preserve">Emissions are allocated based on physical parameters (e.g., mass, energy consumption) for direct and indirect emissions associated with the functional unit. Co-product allocation principles would be applied if multi-output processes were identified, though for this product, a direct attribution approach is primarily utilized.</w:t>
      </w:r>
    </w:p>
    <w:bookmarkEnd w:id="23"/>
    <w:bookmarkStart w:id="24" w:name="map-lifecycle-lci-inventory-stages"/>
    <w:p>
      <w:pPr>
        <w:pStyle w:val="Heading3"/>
      </w:pPr>
      <w:r>
        <w:t xml:space="preserve">2.2. Map Lifecycle (LCI Inventory Stages)</w:t>
      </w:r>
    </w:p>
    <w:p>
      <w:pPr>
        <w:pStyle w:val="FirstParagraph"/>
      </w:pPr>
      <w:r>
        <w:t xml:space="preserve">The lifecycle of</w:t>
      </w:r>
      <w:r>
        <w:t xml:space="preserve"> </w:t>
      </w:r>
      <w:r>
        <w:rPr>
          <w:bCs/>
          <w:b/>
        </w:rPr>
        <w:t xml:space="preserve">uqelhsimdo</w:t>
      </w:r>
      <w:r>
        <w:t xml:space="preserve"> </w:t>
      </w:r>
      <w:r>
        <w:t xml:space="preserve">has been mapped into the following stages:</w:t>
      </w:r>
    </w:p>
    <w:p>
      <w:pPr>
        <w:numPr>
          <w:ilvl w:val="0"/>
          <w:numId w:val="1002"/>
        </w:numPr>
        <w:pStyle w:val="Compact"/>
      </w:pPr>
      <w:r>
        <w:rPr>
          <w:bCs/>
          <w:b/>
        </w:rPr>
        <w:t xml:space="preserve">Raw Material Acquisition &amp; Pre-processing (Upstream):</w:t>
      </w:r>
      <w:r>
        <w:t xml:space="preserve"> </w:t>
      </w:r>
      <w:r>
        <w:t xml:space="preserve">Extraction, processing, and manufacturing of all materials specified in the Bill of Materials (BOM).</w:t>
      </w:r>
    </w:p>
    <w:p>
      <w:pPr>
        <w:numPr>
          <w:ilvl w:val="0"/>
          <w:numId w:val="1002"/>
        </w:numPr>
        <w:pStyle w:val="Compact"/>
      </w:pPr>
      <w:r>
        <w:rPr>
          <w:bCs/>
          <w:b/>
        </w:rPr>
        <w:t xml:space="preserve">Manufacturing/Production:</w:t>
      </w:r>
      <w:r>
        <w:t xml:space="preserve"> </w:t>
      </w:r>
      <w:r>
        <w:t xml:space="preserve">Assembly, fabrication, and energy consumption at the</w:t>
      </w:r>
      <w:r>
        <w:t xml:space="preserve"> </w:t>
      </w:r>
      <w:r>
        <w:rPr>
          <w:bCs/>
          <w:b/>
        </w:rPr>
        <w:t xml:space="preserve">redjekynsk</w:t>
      </w:r>
      <w:r>
        <w:t xml:space="preserve"> </w:t>
      </w:r>
      <w:r>
        <w:t xml:space="preserve">production facility in China.</w:t>
      </w:r>
    </w:p>
    <w:p>
      <w:pPr>
        <w:numPr>
          <w:ilvl w:val="0"/>
          <w:numId w:val="1002"/>
        </w:numPr>
        <w:pStyle w:val="Compact"/>
      </w:pPr>
      <w:r>
        <w:rPr>
          <w:bCs/>
          <w:b/>
        </w:rPr>
        <w:t xml:space="preserve">Distribution &amp; Logistics:</w:t>
      </w:r>
      <w:r>
        <w:t xml:space="preserve"> </w:t>
      </w:r>
      <w:r>
        <w:t xml:space="preserve">Transportation of the finished product from the factory to the end-consumer markets, including primary distribution and last-mile delivery.</w:t>
      </w:r>
    </w:p>
    <w:p>
      <w:pPr>
        <w:numPr>
          <w:ilvl w:val="0"/>
          <w:numId w:val="1002"/>
        </w:numPr>
        <w:pStyle w:val="Compact"/>
      </w:pPr>
      <w:r>
        <w:rPr>
          <w:bCs/>
          <w:b/>
        </w:rPr>
        <w:t xml:space="preserve">Use Phase:</w:t>
      </w:r>
      <w:r>
        <w:t xml:space="preserve"> </w:t>
      </w:r>
      <w:r>
        <w:t xml:space="preserve">Energy consumption during the anticipated lifespan of the product by the end-user.</w:t>
      </w:r>
    </w:p>
    <w:p>
      <w:pPr>
        <w:numPr>
          <w:ilvl w:val="0"/>
          <w:numId w:val="1002"/>
        </w:numPr>
        <w:pStyle w:val="Compact"/>
      </w:pPr>
      <w:r>
        <w:rPr>
          <w:bCs/>
          <w:b/>
        </w:rPr>
        <w:t xml:space="preserve">End-of-Life (EoL):</w:t>
      </w:r>
      <w:r>
        <w:t xml:space="preserve"> </w:t>
      </w:r>
      <w:r>
        <w:t xml:space="preserve">Collection, recycling, and disposal of the product and its associated packaging at the end of its useful life.</w:t>
      </w:r>
    </w:p>
    <w:bookmarkEnd w:id="24"/>
    <w:bookmarkStart w:id="25" w:name="Xb57f50a89bf1f3f1837369be949d9d60d6c1272"/>
    <w:p>
      <w:pPr>
        <w:pStyle w:val="Heading3"/>
      </w:pPr>
      <w:r>
        <w:t xml:space="preserve">2.3. Collect Data (Primary/Secondary Data Points)</w:t>
      </w:r>
    </w:p>
    <w:p>
      <w:pPr>
        <w:pStyle w:val="FirstParagraph"/>
      </w:pPr>
      <w:r>
        <w:t xml:space="preserve">Data collection involved:</w:t>
      </w:r>
    </w:p>
    <w:p>
      <w:pPr>
        <w:numPr>
          <w:ilvl w:val="0"/>
          <w:numId w:val="1003"/>
        </w:numPr>
        <w:pStyle w:val="Compact"/>
      </w:pPr>
      <w:r>
        <w:rPr>
          <w:bCs/>
          <w:b/>
        </w:rPr>
        <w:t xml:space="preserve">Primary Data:</w:t>
      </w:r>
      <w:r>
        <w:t xml:space="preserve"> </w:t>
      </w:r>
      <w:r>
        <w:t xml:space="preserve">Company-specific operational data for production (e.g., energy intensity, renewable energy usage) and the Detailed Bill of Materials (BOM).</w:t>
      </w:r>
    </w:p>
    <w:p>
      <w:pPr>
        <w:numPr>
          <w:ilvl w:val="0"/>
          <w:numId w:val="1003"/>
        </w:numPr>
        <w:pStyle w:val="Compact"/>
      </w:pPr>
      <w:r>
        <w:rPr>
          <w:bCs/>
          <w:b/>
        </w:rPr>
        <w:t xml:space="preserve">Secondary Data:</w:t>
      </w:r>
      <w:r>
        <w:t xml:space="preserve"> </w:t>
      </w:r>
      <w:r>
        <w:t xml:space="preserve">Industry-average emission factors for materials, energy grids, and transport, primarily sourced from reputable databases like Ecoinvent and DEFRA, where specific primary data was not available for placeholders (e.g., general transport modes and distances). These factors are selected to align with the geographic scope where possible.</w:t>
      </w:r>
    </w:p>
    <w:bookmarkEnd w:id="25"/>
    <w:bookmarkStart w:id="26" w:name="Xb404f6bea4a0013006ec7a9103609d9ea6643c1"/>
    <w:p>
      <w:pPr>
        <w:pStyle w:val="Heading3"/>
      </w:pPr>
      <w:r>
        <w:t xml:space="preserve">2.4. Calculate Emissions (Activity * Emission Factor = CO2e)</w:t>
      </w:r>
    </w:p>
    <w:p>
      <w:pPr>
        <w:pStyle w:val="FirstParagraph"/>
      </w:pPr>
      <w:r>
        <w:t xml:space="preserve">Emissions are calculated for each lifecycle stage by multiplying relevant activity data (e.g., kg of material, kWh of energy, km traveled) by appropriate greenhouse gas emission factors (kgCO2e/unit of activity). These calculations account for carbon dioxide (CO2), methane (CH4), nitrous oxide (N2O), and other fluorinated gases, converted to CO2 equivalents (CO2e).</w:t>
      </w:r>
    </w:p>
    <w:bookmarkEnd w:id="26"/>
    <w:bookmarkStart w:id="27" w:name="review-report-hotspots-and-reliability"/>
    <w:p>
      <w:pPr>
        <w:pStyle w:val="Heading3"/>
      </w:pPr>
      <w:r>
        <w:t xml:space="preserve">2.5. Review &amp; Report (Hotspots and Reliability)</w:t>
      </w:r>
    </w:p>
    <w:p>
      <w:pPr>
        <w:pStyle w:val="FirstParagraph"/>
      </w:pPr>
      <w:r>
        <w:t xml:space="preserve">The analysis identifies major emission hotspots across the product lifecycle. Reliability is assessed based on data quality (primary vs. secondary) and the uncertainty associated with emission factors. Recommendations for further data collection and emission reduction strategies are provided.</w:t>
      </w:r>
    </w:p>
    <w:bookmarkEnd w:id="27"/>
    <w:bookmarkStart w:id="28" w:name="adherence-to-ghg-protocol-standards"/>
    <w:p>
      <w:pPr>
        <w:pStyle w:val="Heading3"/>
      </w:pPr>
      <w:r>
        <w:t xml:space="preserve">2.6. Adherence to GHG Protocol Standards</w:t>
      </w:r>
    </w:p>
    <w:p>
      <w:pPr>
        <w:pStyle w:val="FirstParagraph"/>
      </w:pPr>
      <w:r>
        <w:t xml:space="preserve">This report strictly adheres to the Greenhouse Gas (GHG) Protocol, categorizing emissions into the following scopes:</w:t>
      </w:r>
    </w:p>
    <w:p>
      <w:pPr>
        <w:numPr>
          <w:ilvl w:val="0"/>
          <w:numId w:val="1004"/>
        </w:numPr>
        <w:pStyle w:val="Compact"/>
      </w:pPr>
      <w:r>
        <w:rPr>
          <w:bCs/>
          <w:b/>
        </w:rPr>
        <w:t xml:space="preserve">Scope 1 (Direct Emissions):</w:t>
      </w:r>
      <w:r>
        <w:t xml:space="preserve"> </w:t>
      </w:r>
      <w:r>
        <w:t xml:space="preserve">GHG emissions from sources owned or controlled by</w:t>
      </w:r>
      <w:r>
        <w:t xml:space="preserve"> </w:t>
      </w:r>
      <w:r>
        <w:rPr>
          <w:bCs/>
          <w:b/>
        </w:rPr>
        <w:t xml:space="preserve">redjekynsk</w:t>
      </w:r>
      <w:r>
        <w:t xml:space="preserve">, such as on-site fuel combustion or process emissions. For the \'factory_gate\' boundary, this would include direct manufacturing emissions.</w:t>
      </w:r>
    </w:p>
    <w:p>
      <w:pPr>
        <w:numPr>
          <w:ilvl w:val="0"/>
          <w:numId w:val="1004"/>
        </w:numPr>
        <w:pStyle w:val="Compact"/>
      </w:pPr>
      <w:r>
        <w:rPr>
          <w:bCs/>
          <w:b/>
        </w:rPr>
        <w:t xml:space="preserve">Scope 2 (Indirect Emissions from Purchased Energy):</w:t>
      </w:r>
      <w:r>
        <w:t xml:space="preserve"> </w:t>
      </w:r>
      <w:r>
        <w:t xml:space="preserve">GHG emissions from the generation of purchased electricity, heat, or steam consumed by</w:t>
      </w:r>
      <w:r>
        <w:t xml:space="preserve"> </w:t>
      </w:r>
      <w:r>
        <w:rPr>
          <w:bCs/>
          <w:b/>
        </w:rPr>
        <w:t xml:space="preserve">redjekynsk</w:t>
      </w:r>
      <w:r>
        <w:t xml:space="preserve">\'s operations.</w:t>
      </w:r>
    </w:p>
    <w:p>
      <w:pPr>
        <w:numPr>
          <w:ilvl w:val="0"/>
          <w:numId w:val="1004"/>
        </w:numPr>
        <w:pStyle w:val="Compact"/>
      </w:pPr>
      <w:r>
        <w:rPr>
          <w:bCs/>
          <w:b/>
        </w:rPr>
        <w:t xml:space="preserve">Scope 3 (Other Indirect Emissions):</w:t>
      </w:r>
      <w:r>
        <w:t xml:space="preserve"> </w:t>
      </w:r>
      <w:r>
        <w:t xml:space="preserve">All other indirect emissions that occur in the value chain of</w:t>
      </w:r>
      <w:r>
        <w:t xml:space="preserve"> </w:t>
      </w:r>
      <w:r>
        <w:rPr>
          <w:bCs/>
          <w:b/>
        </w:rPr>
        <w:t xml:space="preserve">redjekynsk</w:t>
      </w:r>
      <w:r>
        <w:t xml:space="preserve">, both upstream (e.g., raw material production, upstream transport) and downstream (e.g., product distribution, use of sold products, end-of-life treatment of sold products). Scope 3 emissions often represent the largest portion of a company\'s total carbon footprint.</w:t>
      </w:r>
    </w:p>
    <w:bookmarkEnd w:id="28"/>
    <w:bookmarkStart w:id="29" w:name="Xf1fd7ce00d4def0fdfa9668e088f49f6283fe56"/>
    <w:p>
      <w:pPr>
        <w:pStyle w:val="Heading3"/>
      </w:pPr>
      <w:r>
        <w:t xml:space="preserve">2.7. 2026 LSR Update: Land Sector and Removals (LSR) Standard Application</w:t>
      </w:r>
    </w:p>
    <w:p>
      <w:pPr>
        <w:pStyle w:val="FirstParagraph"/>
      </w:pPr>
      <w:r>
        <w:t xml:space="preserve">As per the 2026 requirements, the analysis considers the application of the GHG Protocol\'s Land Sector and Removals (LSR) Standard. The LSR Standard, released on January 30, 2026, and effective January 1, 2027, provides requirements and guidance for quantifying, reporting, and tracking land emissions, CO2 removals (including technological removals), and other key metrics. While specific land-use change data was not provided for this product, the consideration of circular/take-back programs aligns with the spirit of the LSR Standard by acknowledging potential carbon removals through material recovery and recycling. The associated guidance document is scheduled for publication in Q2 2026.</w:t>
      </w:r>
    </w:p>
    <w:bookmarkEnd w:id="29"/>
    <w:bookmarkStart w:id="30" w:name="scope-3-compliance-2026-requirements"/>
    <w:p>
      <w:pPr>
        <w:pStyle w:val="Heading3"/>
      </w:pPr>
      <w:r>
        <w:t xml:space="preserve">2.8. Scope 3 Compliance (2026 Requirements)</w:t>
      </w:r>
    </w:p>
    <w:p>
      <w:pPr>
        <w:pStyle w:val="FirstParagraph"/>
      </w:pPr>
      <w:r>
        <w:t xml:space="preserve">The 2026 updates to the GHG Protocol\'s Scope 3 Standard propose a quantified threshold for reporting completeness. This analysis aims to ensure at least</w:t>
      </w:r>
      <w:r>
        <w:t xml:space="preserve"> </w:t>
      </w:r>
      <w:r>
        <w:rPr>
          <w:bCs/>
          <w:b/>
        </w:rPr>
        <w:t xml:space="preserve">95% coverage for Scope 3 emissions</w:t>
      </w:r>
      <w:r>
        <w:t xml:space="preserve">, aligning with the proposed requirement that companies account for at least 95% of total required Scope 3 emissions. This emphasizes near-complete visibility across the value chain to enhance transparency and comparability of corporate sustainability reporting.</w:t>
      </w:r>
    </w:p>
    <w:p>
      <w:r>
        <w:pict>
          <v:rect style="width:0;height:1.5pt" o:hralign="center" o:hrstd="t" o:hr="t"/>
        </w:pict>
      </w:r>
    </w:p>
    <w:bookmarkEnd w:id="30"/>
    <w:bookmarkEnd w:id="31"/>
    <w:bookmarkStart w:id="37" w:name="data-collection-and-inventory"/>
    <w:p>
      <w:pPr>
        <w:pStyle w:val="Heading2"/>
      </w:pPr>
      <w:r>
        <w:t xml:space="preserve">3. Data Collection and Inventory</w:t>
      </w:r>
    </w:p>
    <w:p>
      <w:pPr>
        <w:pStyle w:val="FirstParagraph"/>
      </w:pPr>
      <w:r>
        <w:t xml:space="preserve">This section details the specific data inputs used for the PCF calculation, incorporating the provided parameters and utilizing illustrative industry-standard emission factors where explicit values were placeholders.</w:t>
      </w:r>
    </w:p>
    <w:bookmarkStart w:id="32" w:name="Xab0c3ee0bee55b5fda4cc9af8af0197e54e7b7b"/>
    <w:p>
      <w:pPr>
        <w:pStyle w:val="Heading3"/>
      </w:pPr>
      <w:r>
        <w:t xml:space="preserve">3.1. Detailed Bill of Materials (BOM) Analysis (vzstedxe)</w:t>
      </w:r>
    </w:p>
    <w:p>
      <w:pPr>
        <w:pStyle w:val="FirstParagraph"/>
      </w:pPr>
      <w:r>
        <w:t xml:space="preserve">The following detailed Bill of Materials (BOM) was used for high-accuracy material impact calculation for</w:t>
      </w:r>
      <w:r>
        <w:t xml:space="preserve"> </w:t>
      </w:r>
      <w:r>
        <w:rPr>
          <w:bCs/>
          <w:b/>
        </w:rPr>
        <w:t xml:space="preserve">uqelhsimdo</w:t>
      </w:r>
      <w:r>
        <w:t xml:space="preserve">. The "Total Carbon" values represent the cradle-to-gate emissions for each material component, as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M002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w:t>
            </w:r>
          </w:p>
        </w:tc>
        <w:tc>
          <w:tcPr/>
          <w:p>
            <w:pPr>
              <w:pStyle w:val="Compact"/>
              <w:jc w:val="left"/>
            </w:pPr>
            <w:r>
              <w:t xml:space="preserve">5.00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p>
            <w:pPr>
              <w:pStyle w:val="Compact"/>
              <w:jc w:val="left"/>
            </w:pPr>
            <w:r>
              <w:t xml:space="preserve">M005</w:t>
            </w:r>
          </w:p>
        </w:tc>
        <w:tc>
          <w:tcPr/>
          <w:p>
            <w:pPr>
              <w:pStyle w:val="Compact"/>
              <w:jc w:val="left"/>
            </w:pPr>
            <w:r>
              <w:t xml:space="preserve">Fasteners</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r>
        <w:tc>
          <w:tcPr/>
          <w:p>
            <w:pPr>
              <w:pStyle w:val="Compact"/>
              <w:jc w:val="left"/>
            </w:pPr>
            <w:r>
              <w:t xml:space="preserve">M006</w:t>
            </w:r>
          </w:p>
        </w:tc>
        <w:tc>
          <w:tcPr/>
          <w:p>
            <w:pPr>
              <w:pStyle w:val="Compact"/>
              <w:jc w:val="left"/>
            </w:pPr>
            <w:r>
              <w:t xml:space="preserve">Internal Wiring</w:t>
            </w:r>
          </w:p>
        </w:tc>
        <w:tc>
          <w:tcPr/>
          <w:p>
            <w:pPr>
              <w:pStyle w:val="Compact"/>
              <w:jc w:val="left"/>
            </w:pPr>
            <w:r>
              <w:t xml:space="preserve">Polymer/Metal</w:t>
            </w:r>
          </w:p>
        </w:tc>
        <w:tc>
          <w:tcPr/>
          <w:p>
            <w:pPr>
              <w:pStyle w:val="Compact"/>
              <w:jc w:val="left"/>
            </w:pPr>
            <w:r>
              <w:t xml:space="preserve">Wire 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2.8</w:t>
            </w:r>
          </w:p>
        </w:tc>
        <w:tc>
          <w:tcPr/>
          <w:p>
            <w:pPr>
              <w:pStyle w:val="Compact"/>
              <w:jc w:val="left"/>
            </w:pPr>
            <w:r>
              <w:t xml:space="preserve">0.06</w:t>
            </w:r>
          </w:p>
        </w:tc>
      </w:tr>
      <w:tr>
        <w:tc>
          <w:tcPr/>
          <w:p>
            <w:pPr>
              <w:pStyle w:val="Compact"/>
              <w:jc w:val="left"/>
            </w:pPr>
            <w:r>
              <w:t xml:space="preserve">M007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0.03</w:t>
            </w:r>
          </w:p>
        </w:tc>
      </w:tr>
      <w:tr>
        <w:tc>
          <w:tcPr>
            <w:gridSpan w:val="7"/>
          </w:tcPr>
          <w:p>
            <w:pPr>
              <w:pStyle w:val="Compact"/>
              <w:jc w:val="right"/>
            </w:pPr>
            <w:r>
              <w:t xml:space="preserve">Total Material Acquisition &amp; Pre-processing Emissions:</w:t>
            </w:r>
          </w:p>
        </w:tc>
        <w:tc>
          <w:tcPr/>
          <w:p>
            <w:pPr>
              <w:pStyle w:val="Compact"/>
              <w:jc w:val="left"/>
            </w:pPr>
            <w:r>
              <w:t xml:space="preserve">5.77 kgCO2e</w:t>
            </w:r>
          </w:p>
        </w:tc>
      </w:tr>
    </w:tbl>
    <w:p>
      <w:pPr>
        <w:pStyle w:val="BodyText"/>
      </w:pPr>
      <w:r>
        <w:rPr>
          <w:iCs/>
          <w:i/>
        </w:rPr>
        <w:t xml:space="preserve">(Scope 3, Category 1: Purchased goods and services)</w:t>
      </w:r>
    </w:p>
    <w:bookmarkEnd w:id="32"/>
    <w:bookmarkStart w:id="33" w:name="production-energy-inputs"/>
    <w:p>
      <w:pPr>
        <w:pStyle w:val="Heading3"/>
      </w:pPr>
      <w:r>
        <w:t xml:space="preserve">3.2. Production Energy Inputs</w:t>
      </w:r>
    </w:p>
    <w:p>
      <w:pPr>
        <w:pStyle w:val="FirstParagraph"/>
      </w:pPr>
      <w:r>
        <w:t xml:space="preserve">The production phase for</w:t>
      </w:r>
      <w:r>
        <w:t xml:space="preserve"> </w:t>
      </w:r>
      <w:r>
        <w:rPr>
          <w:bCs/>
          <w:b/>
        </w:rPr>
        <w:t xml:space="preserve">uqelhsimdo</w:t>
      </w:r>
      <w:r>
        <w:t xml:space="preserve"> </w:t>
      </w:r>
      <w:r>
        <w:t xml:space="preserve">occurs in</w:t>
      </w:r>
      <w:r>
        <w:t xml:space="preserve"> </w:t>
      </w:r>
      <w:r>
        <w:rPr>
          <w:bCs/>
          <w:b/>
        </w:rPr>
        <w:t xml:space="preserve">China</w:t>
      </w:r>
      <w:r>
        <w:t xml:space="preserve">.</w:t>
      </w:r>
    </w:p>
    <w:p>
      <w:pPr>
        <w:numPr>
          <w:ilvl w:val="0"/>
          <w:numId w:val="1005"/>
        </w:numPr>
        <w:pStyle w:val="Compact"/>
      </w:pPr>
      <w:r>
        <w:rPr>
          <w:bCs/>
          <w:b/>
        </w:rPr>
        <w:t xml:space="preserve">Energy Intensity (kWh/unit):</w:t>
      </w:r>
      <w:r>
        <w:t xml:space="preserve"> </w:t>
      </w:r>
      <w:r>
        <w:t xml:space="preserve">einmmlufyo = 15 kWh/unit</w:t>
      </w:r>
    </w:p>
    <w:p>
      <w:pPr>
        <w:numPr>
          <w:ilvl w:val="0"/>
          <w:numId w:val="1005"/>
        </w:numPr>
        <w:pStyle w:val="Compact"/>
      </w:pPr>
      <w:r>
        <w:rPr>
          <w:bCs/>
          <w:b/>
        </w:rPr>
        <w:t xml:space="preserve">Renewable Energy Usage:</w:t>
      </w:r>
      <w:r>
        <w:t xml:space="preserve"> </w:t>
      </w:r>
      <w:r>
        <w:t xml:space="preserve">gkydgqiivm = 75%</w:t>
      </w:r>
    </w:p>
    <w:p>
      <w:pPr>
        <w:numPr>
          <w:ilvl w:val="0"/>
          <w:numId w:val="1005"/>
        </w:numPr>
        <w:pStyle w:val="Compact"/>
      </w:pPr>
      <w:r>
        <w:rPr>
          <w:bCs/>
          <w:b/>
        </w:rPr>
        <w:t xml:space="preserve">Non-Renewable Electricity Consumption:</w:t>
      </w:r>
      <w:r>
        <w:t xml:space="preserve"> </w:t>
      </w:r>
      <w:r>
        <w:t xml:space="preserve">15 kWh/unit * (1 - 0.75) = 3.75 kWh/unit</w:t>
      </w:r>
    </w:p>
    <w:p>
      <w:pPr>
        <w:numPr>
          <w:ilvl w:val="0"/>
          <w:numId w:val="1005"/>
        </w:numPr>
        <w:pStyle w:val="Compact"/>
      </w:pPr>
      <w:r>
        <w:rPr>
          <w:bCs/>
          <w:b/>
        </w:rPr>
        <w:t xml:space="preserve">Illustrative Emission Factor (China Grid Mix):</w:t>
      </w:r>
      <w:r>
        <w:t xml:space="preserve"> </w:t>
      </w:r>
      <w:r>
        <w:t xml:space="preserve">0.58 kgCO2e/kWh (based on recent data for China\'s electricity grid average).</w:t>
      </w:r>
    </w:p>
    <w:p>
      <w:pPr>
        <w:numPr>
          <w:ilvl w:val="0"/>
          <w:numId w:val="1005"/>
        </w:numPr>
        <w:pStyle w:val="Compact"/>
      </w:pPr>
      <w:r>
        <w:rPr>
          <w:bCs/>
          <w:b/>
        </w:rPr>
        <w:t xml:space="preserve">Production Emissions (Scope 2):</w:t>
      </w:r>
      <w:r>
        <w:t xml:space="preserve"> </w:t>
      </w:r>
      <w:r>
        <w:t xml:space="preserve">3.75 kWh/unit * 0.58 kgCO2e/kWh =</w:t>
      </w:r>
      <w:r>
        <w:t xml:space="preserve"> </w:t>
      </w:r>
      <w:r>
        <w:rPr>
          <w:bCs/>
          <w:b/>
        </w:rPr>
        <w:t xml:space="preserve">2.175 kgCO2e/unit</w:t>
      </w:r>
    </w:p>
    <w:bookmarkEnd w:id="33"/>
    <w:bookmarkStart w:id="34" w:name="logistics-and-transport"/>
    <w:p>
      <w:pPr>
        <w:pStyle w:val="Heading3"/>
      </w:pPr>
      <w:r>
        <w:t xml:space="preserve">3.3. Logistics and Transport</w:t>
      </w:r>
    </w:p>
    <w:p>
      <w:pPr>
        <w:pStyle w:val="FirstParagraph"/>
      </w:pPr>
      <w:r>
        <w:t xml:space="preserve">The supply chain analysis incorporates the following logistics data:</w:t>
      </w:r>
    </w:p>
    <w:p>
      <w:pPr>
        <w:numPr>
          <w:ilvl w:val="0"/>
          <w:numId w:val="1006"/>
        </w:numPr>
        <w:pStyle w:val="Compact"/>
      </w:pPr>
      <w:r>
        <w:rPr>
          <w:bCs/>
          <w:b/>
        </w:rPr>
        <w:t xml:space="preserve">Primary Distribution (Factory to Central Warehouse - China to Europe):</w:t>
      </w:r>
    </w:p>
    <w:p>
      <w:pPr>
        <w:numPr>
          <w:ilvl w:val="1"/>
          <w:numId w:val="1007"/>
        </w:numPr>
        <w:pStyle w:val="Compact"/>
      </w:pPr>
      <w:r>
        <w:rPr>
          <w:bCs/>
          <w:b/>
        </w:rPr>
        <w:t xml:space="preserve">Transport Mode:</w:t>
      </w:r>
      <w:r>
        <w:t xml:space="preserve"> </w:t>
      </w:r>
      <w:r>
        <w:t xml:space="preserve">Select Mode (Assumed: Ocean Freight, due to long distance and cost efficiency for international shipping).</w:t>
      </w:r>
    </w:p>
    <w:p>
      <w:pPr>
        <w:numPr>
          <w:ilvl w:val="1"/>
          <w:numId w:val="1007"/>
        </w:numPr>
        <w:pStyle w:val="Compact"/>
      </w:pPr>
      <w:r>
        <w:rPr>
          <w:bCs/>
          <w:b/>
        </w:rPr>
        <w:t xml:space="preserve">Transport Distance:</w:t>
      </w:r>
      <w:r>
        <w:t xml:space="preserve"> </w:t>
      </w:r>
      <w:r>
        <w:t xml:space="preserve">pwqxgjssld = 10,000 km.</w:t>
      </w:r>
    </w:p>
    <w:p>
      <w:pPr>
        <w:numPr>
          <w:ilvl w:val="1"/>
          <w:numId w:val="1007"/>
        </w:numPr>
        <w:pStyle w:val="Compact"/>
      </w:pPr>
      <w:r>
        <w:rPr>
          <w:bCs/>
          <w:b/>
        </w:rPr>
        <w:t xml:space="preserve">Estimated Product Weight (per unit, including packaging):</w:t>
      </w:r>
      <w:r>
        <w:t xml:space="preserve"> </w:t>
      </w:r>
      <w:r>
        <w:t xml:space="preserve">~1.5 kg.</w:t>
      </w:r>
    </w:p>
    <w:p>
      <w:pPr>
        <w:numPr>
          <w:ilvl w:val="1"/>
          <w:numId w:val="1007"/>
        </w:numPr>
        <w:pStyle w:val="Compact"/>
      </w:pPr>
      <w:r>
        <w:rPr>
          <w:bCs/>
          <w:b/>
        </w:rPr>
        <w:t xml:space="preserve">Illustrative Emission Factor (Ocean Freight):</w:t>
      </w:r>
      <w:r>
        <w:t xml:space="preserve"> </w:t>
      </w:r>
      <w:r>
        <w:t xml:space="preserve">0.00001 kgCO2e/kg-km (equivalent to 0.01 kgCO2e/tonne-km, industry average).</w:t>
      </w:r>
    </w:p>
    <w:p>
      <w:pPr>
        <w:numPr>
          <w:ilvl w:val="1"/>
          <w:numId w:val="1007"/>
        </w:numPr>
        <w:pStyle w:val="Compact"/>
      </w:pPr>
      <w:r>
        <w:rPr>
          <w:bCs/>
          <w:b/>
        </w:rPr>
        <w:t xml:space="preserve">Emissions:</w:t>
      </w:r>
      <w:r>
        <w:t xml:space="preserve"> </w:t>
      </w:r>
      <w:r>
        <w:t xml:space="preserve">1.5 kg/unit * 10,000 km * 0.00001 kgCO2e/kg-km =</w:t>
      </w:r>
      <w:r>
        <w:t xml:space="preserve"> </w:t>
      </w:r>
      <w:r>
        <w:rPr>
          <w:bCs/>
          <w:b/>
        </w:rPr>
        <w:t xml:space="preserve">0.15 kgCO2e/unit</w:t>
      </w:r>
    </w:p>
    <w:p>
      <w:pPr>
        <w:numPr>
          <w:ilvl w:val="0"/>
          <w:numId w:val="1006"/>
        </w:numPr>
        <w:pStyle w:val="Compact"/>
      </w:pPr>
      <w:r>
        <w:rPr>
          <w:bCs/>
          <w:b/>
        </w:rPr>
        <w:t xml:space="preserve">Last-Mile Delivery Channel (Central Warehouse to End-Consumer - Europe):</w:t>
      </w:r>
    </w:p>
    <w:p>
      <w:pPr>
        <w:numPr>
          <w:ilvl w:val="1"/>
          <w:numId w:val="1008"/>
        </w:numPr>
        <w:pStyle w:val="Compact"/>
      </w:pPr>
      <w:r>
        <w:rPr>
          <w:bCs/>
          <w:b/>
        </w:rPr>
        <w:t xml:space="preserve">Delivery Type:</w:t>
      </w:r>
      <w:r>
        <w:t xml:space="preserve"> </w:t>
      </w:r>
      <w:r>
        <w:t xml:space="preserve">Delivery Type (Assumed: Light Commercial Vehicle - LCV).</w:t>
      </w:r>
    </w:p>
    <w:p>
      <w:pPr>
        <w:numPr>
          <w:ilvl w:val="1"/>
          <w:numId w:val="1008"/>
        </w:numPr>
        <w:pStyle w:val="Compact"/>
      </w:pPr>
      <w:r>
        <w:rPr>
          <w:bCs/>
          <w:b/>
        </w:rPr>
        <w:t xml:space="preserve">Transport Distance (Illustrative):</w:t>
      </w:r>
      <w:r>
        <w:t xml:space="preserve"> </w:t>
      </w:r>
      <w:r>
        <w:t xml:space="preserve">100 km (representative of an average last-mile delivery route in Europe).</w:t>
      </w:r>
    </w:p>
    <w:p>
      <w:pPr>
        <w:numPr>
          <w:ilvl w:val="1"/>
          <w:numId w:val="1008"/>
        </w:numPr>
        <w:pStyle w:val="Compact"/>
      </w:pPr>
      <w:r>
        <w:rPr>
          <w:bCs/>
          <w:b/>
        </w:rPr>
        <w:t xml:space="preserve">Illustrative Emission Factor (LCV, per unit for shared load):</w:t>
      </w:r>
      <w:r>
        <w:t xml:space="preserve"> </w:t>
      </w:r>
      <w:r>
        <w:t xml:space="preserve">0.002 kgCO2e/unit-km (assuming a shared load scenario for typical parcel delivery).</w:t>
      </w:r>
    </w:p>
    <w:p>
      <w:pPr>
        <w:numPr>
          <w:ilvl w:val="1"/>
          <w:numId w:val="1008"/>
        </w:numPr>
        <w:pStyle w:val="Compact"/>
      </w:pPr>
      <w:r>
        <w:rPr>
          <w:bCs/>
          <w:b/>
        </w:rPr>
        <w:t xml:space="preserve">Emissions:</w:t>
      </w:r>
      <w:r>
        <w:t xml:space="preserve"> </w:t>
      </w:r>
      <w:r>
        <w:t xml:space="preserve">100 km * 0.002 kgCO2e/unit-km =</w:t>
      </w:r>
      <w:r>
        <w:t xml:space="preserve"> </w:t>
      </w:r>
      <w:r>
        <w:rPr>
          <w:bCs/>
          <w:b/>
        </w:rPr>
        <w:t xml:space="preserve">0.20 kgCO2e/unit</w:t>
      </w:r>
    </w:p>
    <w:p>
      <w:pPr>
        <w:pStyle w:val="FirstParagraph"/>
      </w:pPr>
      <w:r>
        <w:rPr>
          <w:iCs/>
          <w:i/>
        </w:rPr>
        <w:t xml:space="preserve">(Scope 3, Category 4: Upstream transportation and distribution &amp; Category 9: Downstream transportation and distribution)</w:t>
      </w:r>
    </w:p>
    <w:bookmarkEnd w:id="34"/>
    <w:bookmarkStart w:id="35" w:name="use-phase-data"/>
    <w:p>
      <w:pPr>
        <w:pStyle w:val="Heading3"/>
      </w:pPr>
      <w:r>
        <w:t xml:space="preserve">3.4. Use Phase Data</w:t>
      </w:r>
    </w:p>
    <w:p>
      <w:pPr>
        <w:pStyle w:val="FirstParagraph"/>
      </w:pPr>
      <w:r>
        <w:t xml:space="preserve">The use phase calculation expands on the provided durability and consumption data:</w:t>
      </w:r>
    </w:p>
    <w:p>
      <w:pPr>
        <w:numPr>
          <w:ilvl w:val="0"/>
          <w:numId w:val="1009"/>
        </w:numPr>
        <w:pStyle w:val="Compact"/>
      </w:pPr>
      <w:r>
        <w:rPr>
          <w:bCs/>
          <w:b/>
        </w:rPr>
        <w:t xml:space="preserve">Product Lifespan:</w:t>
      </w:r>
      <w:r>
        <w:t xml:space="preserve"> </w:t>
      </w:r>
      <w:r>
        <w:t xml:space="preserve">yzmipvxrrm = 5 years</w:t>
      </w:r>
    </w:p>
    <w:p>
      <w:pPr>
        <w:numPr>
          <w:ilvl w:val="0"/>
          <w:numId w:val="1009"/>
        </w:numPr>
        <w:pStyle w:val="Compact"/>
      </w:pPr>
      <w:r>
        <w:rPr>
          <w:bCs/>
          <w:b/>
        </w:rPr>
        <w:t xml:space="preserve">Energy Consumption in Use:</w:t>
      </w:r>
      <w:r>
        <w:t xml:space="preserve"> </w:t>
      </w:r>
      <w:r>
        <w:t xml:space="preserve">uhmfrhklxi = 0.1 kWh/day</w:t>
      </w:r>
    </w:p>
    <w:p>
      <w:pPr>
        <w:numPr>
          <w:ilvl w:val="0"/>
          <w:numId w:val="1009"/>
        </w:numPr>
        <w:pStyle w:val="Compact"/>
      </w:pPr>
      <w:r>
        <w:rPr>
          <w:bCs/>
          <w:b/>
        </w:rPr>
        <w:t xml:space="preserve">Total Energy Consumption over Lifespan:</w:t>
      </w:r>
      <w:r>
        <w:t xml:space="preserve"> </w:t>
      </w:r>
      <w:r>
        <w:t xml:space="preserve">0.1 kWh/day * 365 days/year * 5 years = 182.5 kWh/unit</w:t>
      </w:r>
    </w:p>
    <w:p>
      <w:pPr>
        <w:numPr>
          <w:ilvl w:val="0"/>
          <w:numId w:val="1009"/>
        </w:numPr>
        <w:pStyle w:val="Compact"/>
      </w:pPr>
      <w:r>
        <w:rPr>
          <w:bCs/>
          <w:b/>
        </w:rPr>
        <w:t xml:space="preserve">Illustrative Emission Factor (Global Average Consumer Grid Mix):</w:t>
      </w:r>
      <w:r>
        <w:t xml:space="preserve"> </w:t>
      </w:r>
      <w:r>
        <w:t xml:space="preserve">0.25 kgCO2e/kWh (a general average for consumer electricity use).</w:t>
      </w:r>
    </w:p>
    <w:p>
      <w:pPr>
        <w:numPr>
          <w:ilvl w:val="0"/>
          <w:numId w:val="1009"/>
        </w:numPr>
        <w:pStyle w:val="Compact"/>
      </w:pPr>
      <w:r>
        <w:rPr>
          <w:bCs/>
          <w:b/>
        </w:rPr>
        <w:t xml:space="preserve">Use Phase Emissions (Scope 3):</w:t>
      </w:r>
      <w:r>
        <w:t xml:space="preserve"> </w:t>
      </w:r>
      <w:r>
        <w:t xml:space="preserve">182.5 kWh/unit * 0.25 kgCO2e/kWh =</w:t>
      </w:r>
      <w:r>
        <w:t xml:space="preserve"> </w:t>
      </w:r>
      <w:r>
        <w:rPr>
          <w:bCs/>
          <w:b/>
        </w:rPr>
        <w:t xml:space="preserve">45.625 kgCO2e/unit</w:t>
      </w:r>
    </w:p>
    <w:p>
      <w:pPr>
        <w:pStyle w:val="FirstParagraph"/>
      </w:pPr>
      <w:r>
        <w:rPr>
          <w:iCs/>
          <w:i/>
        </w:rPr>
        <w:t xml:space="preserve">(Scope 3, Category 11: Use of sold products)</w:t>
      </w:r>
    </w:p>
    <w:bookmarkEnd w:id="35"/>
    <w:bookmarkStart w:id="36" w:name="end-of-life-eol-scenarios"/>
    <w:p>
      <w:pPr>
        <w:pStyle w:val="Heading3"/>
      </w:pPr>
      <w:r>
        <w:t xml:space="preserve">3.5. End-of-Life (EoL) Scenarios</w:t>
      </w:r>
    </w:p>
    <w:p>
      <w:pPr>
        <w:pStyle w:val="FirstParagraph"/>
      </w:pPr>
      <w:r>
        <w:t xml:space="preserve">The End-of-Life phase incorporates circular economy impacts:</w:t>
      </w:r>
    </w:p>
    <w:p>
      <w:pPr>
        <w:numPr>
          <w:ilvl w:val="0"/>
          <w:numId w:val="1010"/>
        </w:numPr>
        <w:pStyle w:val="Compact"/>
      </w:pPr>
      <w:r>
        <w:rPr>
          <w:bCs/>
          <w:b/>
        </w:rPr>
        <w:t xml:space="preserve">Recyclability Percentage:</w:t>
      </w:r>
      <w:r>
        <w:t xml:space="preserve"> </w:t>
      </w:r>
      <w:r>
        <w:t xml:space="preserve">jzovtuhgnj = 60%</w:t>
      </w:r>
    </w:p>
    <w:p>
      <w:pPr>
        <w:numPr>
          <w:ilvl w:val="0"/>
          <w:numId w:val="1010"/>
        </w:numPr>
        <w:pStyle w:val="Compact"/>
      </w:pPr>
      <w:r>
        <w:rPr>
          <w:bCs/>
          <w:b/>
        </w:rPr>
        <w:t xml:space="preserve">Circular/Take-back Programs:</w:t>
      </w:r>
      <w:r>
        <w:t xml:space="preserve"> </w:t>
      </w:r>
      <w:r>
        <w:t xml:space="preserve">rxyxodfxog = "Company-operated take-back scheme with material recovery and recycling."</w:t>
      </w:r>
    </w:p>
    <w:p>
      <w:pPr>
        <w:numPr>
          <w:ilvl w:val="0"/>
          <w:numId w:val="1010"/>
        </w:numPr>
        <w:pStyle w:val="Compact"/>
      </w:pPr>
      <w:r>
        <w:rPr>
          <w:bCs/>
          <w:b/>
        </w:rPr>
        <w:t xml:space="preserve">Total Product Mass (approx.):</w:t>
      </w:r>
      <w:r>
        <w:t xml:space="preserve"> </w:t>
      </w:r>
      <w:r>
        <w:t xml:space="preserve">1.5 kg/unit (including packaging).</w:t>
      </w:r>
    </w:p>
    <w:p>
      <w:pPr>
        <w:numPr>
          <w:ilvl w:val="0"/>
          <w:numId w:val="1010"/>
        </w:numPr>
        <w:pStyle w:val="Compact"/>
      </w:pPr>
      <w:r>
        <w:rPr>
          <w:bCs/>
          <w:b/>
        </w:rPr>
        <w:t xml:space="preserve">Mass for Recycling:</w:t>
      </w:r>
      <w:r>
        <w:t xml:space="preserve"> </w:t>
      </w:r>
      <w:r>
        <w:t xml:space="preserve">1.5 kg * 0.60 = 0.9 kg</w:t>
      </w:r>
    </w:p>
    <w:p>
      <w:pPr>
        <w:numPr>
          <w:ilvl w:val="0"/>
          <w:numId w:val="1010"/>
        </w:numPr>
        <w:pStyle w:val="Compact"/>
      </w:pPr>
      <w:r>
        <w:rPr>
          <w:bCs/>
          <w:b/>
        </w:rPr>
        <w:t xml:space="preserve">Mass for Disposal (Landfill/Incineration):</w:t>
      </w:r>
      <w:r>
        <w:t xml:space="preserve"> </w:t>
      </w:r>
      <w:r>
        <w:t xml:space="preserve">1.5 kg * (1 - 0.60) = 0.6 kg</w:t>
      </w:r>
    </w:p>
    <w:p>
      <w:pPr>
        <w:numPr>
          <w:ilvl w:val="0"/>
          <w:numId w:val="1010"/>
        </w:numPr>
        <w:pStyle w:val="Compact"/>
      </w:pPr>
      <w:r>
        <w:rPr>
          <w:bCs/>
          <w:b/>
        </w:rPr>
        <w:t xml:space="preserve">Illustrative Recycling Credit:</w:t>
      </w:r>
      <w:r>
        <w:t xml:space="preserve"> </w:t>
      </w:r>
      <w:r>
        <w:t xml:space="preserve">-1.5 kgCO2e/kg for recycled mixed materials (representing avoided virgin material production).</w:t>
      </w:r>
    </w:p>
    <w:p>
      <w:pPr>
        <w:numPr>
          <w:ilvl w:val="0"/>
          <w:numId w:val="1010"/>
        </w:numPr>
        <w:pStyle w:val="Compact"/>
      </w:pPr>
      <w:r>
        <w:rPr>
          <w:bCs/>
          <w:b/>
        </w:rPr>
        <w:t xml:space="preserve">Illustrative Disposal Emission Factor:</w:t>
      </w:r>
      <w:r>
        <w:t xml:space="preserve"> </w:t>
      </w:r>
      <w:r>
        <w:t xml:space="preserve">0.8 kgCO2e/kg for mixed waste (incineration/landfill without significant energy recovery).</w:t>
      </w:r>
    </w:p>
    <w:p>
      <w:pPr>
        <w:numPr>
          <w:ilvl w:val="0"/>
          <w:numId w:val="1010"/>
        </w:numPr>
        <w:pStyle w:val="Compact"/>
      </w:pPr>
      <w:r>
        <w:rPr>
          <w:bCs/>
          <w:b/>
        </w:rPr>
        <w:t xml:space="preserve">Recycling Credit:</w:t>
      </w:r>
      <w:r>
        <w:t xml:space="preserve"> </w:t>
      </w:r>
      <w:r>
        <w:t xml:space="preserve">0.9 kg * -1.5 kgCO2e/kg = -1.35 kgCO2e</w:t>
      </w:r>
    </w:p>
    <w:p>
      <w:pPr>
        <w:numPr>
          <w:ilvl w:val="0"/>
          <w:numId w:val="1010"/>
        </w:numPr>
        <w:pStyle w:val="Compact"/>
      </w:pPr>
      <w:r>
        <w:rPr>
          <w:bCs/>
          <w:b/>
        </w:rPr>
        <w:t xml:space="preserve">Disposal Emissions:</w:t>
      </w:r>
      <w:r>
        <w:t xml:space="preserve"> </w:t>
      </w:r>
      <w:r>
        <w:t xml:space="preserve">0.6 kg * 0.8 kgCO2e/kg = 0.48 kgCO2e</w:t>
      </w:r>
    </w:p>
    <w:p>
      <w:pPr>
        <w:numPr>
          <w:ilvl w:val="0"/>
          <w:numId w:val="1010"/>
        </w:numPr>
        <w:pStyle w:val="Compact"/>
      </w:pPr>
      <w:r>
        <w:rPr>
          <w:bCs/>
          <w:b/>
        </w:rPr>
        <w:t xml:space="preserve">Net End-of-Life Emissions (Scope 3):</w:t>
      </w:r>
      <w:r>
        <w:t xml:space="preserve"> </w:t>
      </w:r>
      <w:r>
        <w:t xml:space="preserve">-1.35 kgCO2e + 0.48 kgCO2e =</w:t>
      </w:r>
      <w:r>
        <w:t xml:space="preserve"> </w:t>
      </w:r>
      <w:r>
        <w:rPr>
          <w:bCs/>
          <w:b/>
        </w:rPr>
        <w:t xml:space="preserve">-0.87 kgCO2e/unit</w:t>
      </w:r>
    </w:p>
    <w:p>
      <w:pPr>
        <w:pStyle w:val="FirstParagraph"/>
      </w:pPr>
      <w:r>
        <w:rPr>
          <w:iCs/>
          <w:i/>
        </w:rPr>
        <w:t xml:space="preserve">(Scope 3, Category 12: End-of-life treatment of sold products)</w:t>
      </w:r>
    </w:p>
    <w:p>
      <w:r>
        <w:pict>
          <v:rect style="width:0;height:1.5pt" o:hralign="center" o:hrstd="t" o:hr="t"/>
        </w:pict>
      </w:r>
    </w:p>
    <w:bookmarkEnd w:id="36"/>
    <w:bookmarkEnd w:id="37"/>
    <w:bookmarkStart w:id="40" w:name="X63d74f3f458855f4b91d787d168a2efb5337106"/>
    <w:p>
      <w:pPr>
        <w:pStyle w:val="Heading2"/>
      </w:pPr>
      <w:r>
        <w:t xml:space="preserve">4. Product Carbon Footprint (PCF) Calculation Summary</w:t>
      </w:r>
    </w:p>
    <w:p>
      <w:pPr>
        <w:pStyle w:val="FirstParagraph"/>
      </w:pPr>
      <w:r>
        <w:t xml:space="preserve">The total Product Carbon Footprint for one functional unit of</w:t>
      </w:r>
      <w:r>
        <w:t xml:space="preserve"> </w:t>
      </w:r>
      <w:r>
        <w:rPr>
          <w:bCs/>
          <w:b/>
        </w:rPr>
        <w:t xml:space="preserve">uqelhsimdo</w:t>
      </w:r>
      <w:r>
        <w:t xml:space="preserve"> </w:t>
      </w:r>
      <w:r>
        <w:t xml:space="preserve">is summarized below, broken down by lifecycle stage and GHG Protocol scope. Note that while the system boundary parameter was `factory_gate`, the comprehensive analysis incorporating use and end-of-life provides a cradle-to-grave perspective for a complete PCF.</w:t>
      </w:r>
    </w:p>
    <w:bookmarkStart w:id="38" w:name="factory-gate-pcf-cradle-to-gate"/>
    <w:p>
      <w:pPr>
        <w:pStyle w:val="Heading3"/>
      </w:pPr>
      <w:r>
        <w:t xml:space="preserve">4.1. Factory-Gate PCF (Cradle-to-Gate)</w:t>
      </w:r>
    </w:p>
    <w:p>
      <w:pPr>
        <w:pStyle w:val="FirstParagraph"/>
      </w:pPr>
      <w:r>
        <w:t xml:space="preserve">This section reflects the emissions up to the point the product leaves the factory.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5.77</w:t>
            </w:r>
          </w:p>
        </w:tc>
      </w:tr>
      <w:tr>
        <w:tc>
          <w:tcPr/>
          <w:p>
            <w:pPr>
              <w:pStyle w:val="Compact"/>
              <w:jc w:val="left"/>
            </w:pPr>
            <w:r>
              <w:t xml:space="preserve">Production Phase (Electricity)</w:t>
            </w:r>
          </w:p>
        </w:tc>
        <w:tc>
          <w:tcPr/>
          <w:p>
            <w:pPr>
              <w:pStyle w:val="Compact"/>
              <w:jc w:val="left"/>
            </w:pPr>
            <w:r>
              <w:t xml:space="preserve">Scope 2</w:t>
            </w:r>
          </w:p>
        </w:tc>
        <w:tc>
          <w:tcPr/>
          <w:p>
            <w:pPr>
              <w:pStyle w:val="Compact"/>
              <w:jc w:val="left"/>
            </w:pPr>
            <w:r>
              <w:t xml:space="preserve">2.175</w:t>
            </w:r>
          </w:p>
        </w:tc>
      </w:tr>
      <w:tr>
        <w:tc>
          <w:tcPr>
            <w:gridSpan w:val="2"/>
          </w:tcPr>
          <w:p>
            <w:pPr>
              <w:pStyle w:val="Compact"/>
              <w:jc w:val="right"/>
            </w:pPr>
            <w:r>
              <w:t xml:space="preserve">Total Factory-Gate PCF:</w:t>
            </w:r>
          </w:p>
        </w:tc>
        <w:tc>
          <w:tcPr/>
          <w:p>
            <w:pPr>
              <w:pStyle w:val="Compact"/>
              <w:jc w:val="left"/>
            </w:pPr>
            <w:r>
              <w:t xml:space="preserve">7.945</w:t>
            </w:r>
          </w:p>
        </w:tc>
      </w:tr>
    </w:tbl>
    <w:bookmarkEnd w:id="38"/>
    <w:bookmarkStart w:id="39" w:name="full-lifecycle-pcf-cradle-to-grave"/>
    <w:p>
      <w:pPr>
        <w:pStyle w:val="Heading3"/>
      </w:pPr>
      <w:r>
        <w:t xml:space="preserve">4.2. Full Lifecycle PCF (Cradle-to-Grave)</w:t>
      </w:r>
    </w:p>
    <w:p>
      <w:pPr>
        <w:pStyle w:val="FirstParagraph"/>
      </w:pPr>
      <w:r>
        <w:t xml:space="preserve">This section presents the full lifecycle emissions, including distribution, use, and end-of-life, as requested by the detailed parameters.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5.77</w:t>
            </w:r>
          </w:p>
        </w:tc>
      </w:tr>
      <w:tr>
        <w:tc>
          <w:tcPr/>
          <w:p>
            <w:pPr>
              <w:pStyle w:val="Compact"/>
              <w:jc w:val="left"/>
            </w:pPr>
            <w:r>
              <w:t xml:space="preserve">Production Phase (Electricity)</w:t>
            </w:r>
          </w:p>
        </w:tc>
        <w:tc>
          <w:tcPr/>
          <w:p>
            <w:pPr>
              <w:pStyle w:val="Compact"/>
              <w:jc w:val="left"/>
            </w:pPr>
            <w:r>
              <w:t xml:space="preserve">Scope 2</w:t>
            </w:r>
          </w:p>
        </w:tc>
        <w:tc>
          <w:tcPr/>
          <w:p>
            <w:pPr>
              <w:pStyle w:val="Compact"/>
              <w:jc w:val="left"/>
            </w:pPr>
            <w:r>
              <w:t xml:space="preserve">2.175</w:t>
            </w:r>
          </w:p>
        </w:tc>
      </w:tr>
      <w:tr>
        <w:tc>
          <w:tcPr/>
          <w:p>
            <w:pPr>
              <w:pStyle w:val="Compact"/>
              <w:jc w:val="left"/>
            </w:pPr>
            <w:r>
              <w:t xml:space="preserve">Distribution &amp; Logistics</w:t>
            </w:r>
          </w:p>
        </w:tc>
        <w:tc>
          <w:tcPr/>
          <w:p>
            <w:pPr>
              <w:pStyle w:val="Compact"/>
              <w:jc w:val="left"/>
            </w:pPr>
            <w:r>
              <w:t xml:space="preserve">Scope 3 (Categories 4 &amp; 9)</w:t>
            </w:r>
          </w:p>
        </w:tc>
        <w:tc>
          <w:tcPr/>
          <w:p>
            <w:pPr>
              <w:pStyle w:val="Compact"/>
              <w:jc w:val="left"/>
            </w:pPr>
            <w:r>
              <w:t xml:space="preserve">0.35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45.625</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-0.87</w:t>
            </w:r>
          </w:p>
        </w:tc>
      </w:tr>
      <w:tr>
        <w:tc>
          <w:tcPr>
            <w:gridSpan w:val="2"/>
          </w:tcPr>
          <w:p>
            <w:pPr>
              <w:pStyle w:val="Compact"/>
              <w:jc w:val="right"/>
            </w:pPr>
            <w:r>
              <w:t xml:space="preserve">Total Full Lifecycle PCF:</w:t>
            </w:r>
          </w:p>
        </w:tc>
        <w:tc>
          <w:tcPr/>
          <w:p>
            <w:pPr>
              <w:pStyle w:val="Compact"/>
              <w:jc w:val="left"/>
            </w:pPr>
            <w:r>
              <w:t xml:space="preserve">53.05</w:t>
            </w:r>
          </w:p>
        </w:tc>
      </w:tr>
    </w:tbl>
    <w:p>
      <w:r>
        <w:pict>
          <v:rect style="width:0;height:1.5pt" o:hralign="center" o:hrstd="t" o:hr="t"/>
        </w:pict>
      </w:r>
    </w:p>
    <w:bookmarkEnd w:id="39"/>
    <w:bookmarkEnd w:id="40"/>
    <w:bookmarkStart w:id="44" w:name="hotspots-recommendations-and-limitations"/>
    <w:p>
      <w:pPr>
        <w:pStyle w:val="Heading2"/>
      </w:pPr>
      <w:r>
        <w:t xml:space="preserve">5. Hotspots, Recommendations, and Limitations</w:t>
      </w:r>
    </w:p>
    <w:bookmarkStart w:id="41" w:name="hotspot-identification"/>
    <w:p>
      <w:pPr>
        <w:pStyle w:val="Heading3"/>
      </w:pPr>
      <w:r>
        <w:t xml:space="preserve">5.1. Hotspot Identification</w:t>
      </w:r>
    </w:p>
    <w:p>
      <w:pPr>
        <w:pStyle w:val="FirstParagraph"/>
      </w:pPr>
      <w:r>
        <w:t xml:space="preserve">The analysis reveals the following emission hotspots for</w:t>
      </w:r>
      <w:r>
        <w:t xml:space="preserve"> </w:t>
      </w:r>
      <w:r>
        <w:rPr>
          <w:bCs/>
          <w:b/>
        </w:rPr>
        <w:t xml:space="preserve">uqelhsimdo</w:t>
      </w:r>
      <w:r>
        <w:t xml:space="preserve">:</w:t>
      </w:r>
    </w:p>
    <w:p>
      <w:pPr>
        <w:numPr>
          <w:ilvl w:val="0"/>
          <w:numId w:val="1011"/>
        </w:numPr>
        <w:pStyle w:val="Compact"/>
      </w:pPr>
      <w:r>
        <w:rPr>
          <w:bCs/>
          <w:b/>
        </w:rPr>
        <w:t xml:space="preserve">Use Phase (45.625 kgCO2e):</w:t>
      </w:r>
      <w:r>
        <w:t xml:space="preserve"> </w:t>
      </w:r>
      <w:r>
        <w:t xml:space="preserve">This phase accounts for the majority of the product\'s carbon footprint, primarily due to ongoing electricity consumption over its 5-year lifespan.</w:t>
      </w:r>
    </w:p>
    <w:p>
      <w:pPr>
        <w:numPr>
          <w:ilvl w:val="0"/>
          <w:numId w:val="1011"/>
        </w:numPr>
        <w:pStyle w:val="Compact"/>
      </w:pPr>
      <w:r>
        <w:rPr>
          <w:bCs/>
          <w:b/>
        </w:rPr>
        <w:t xml:space="preserve">Material Acquisition &amp; Pre-processing (5.77 kgCO2e):</w:t>
      </w:r>
      <w:r>
        <w:t xml:space="preserve"> </w:t>
      </w:r>
      <w:r>
        <w:t xml:space="preserve">The production of raw materials, particularly the circuit board, contributes significantly to the upstream emissions.</w:t>
      </w:r>
    </w:p>
    <w:p>
      <w:pPr>
        <w:numPr>
          <w:ilvl w:val="0"/>
          <w:numId w:val="1011"/>
        </w:numPr>
        <w:pStyle w:val="Compact"/>
      </w:pPr>
      <w:r>
        <w:rPr>
          <w:bCs/>
          <w:b/>
        </w:rPr>
        <w:t xml:space="preserve">Production Phase (2.175 kgCO2e):</w:t>
      </w:r>
      <w:r>
        <w:t xml:space="preserve"> </w:t>
      </w:r>
      <w:r>
        <w:t xml:space="preserve">While renewable energy usage (75%) mitigates emissions, the remaining non-renewable electricity consumption still represents a notable contribution.</w:t>
      </w:r>
    </w:p>
    <w:bookmarkEnd w:id="41"/>
    <w:bookmarkStart w:id="42" w:name="recommendations-for-emission-reduction"/>
    <w:p>
      <w:pPr>
        <w:pStyle w:val="Heading3"/>
      </w:pPr>
      <w:r>
        <w:t xml:space="preserve">5.2. Recommendations for Emission Reduction</w:t>
      </w:r>
    </w:p>
    <w:p>
      <w:pPr>
        <w:numPr>
          <w:ilvl w:val="0"/>
          <w:numId w:val="1012"/>
        </w:numPr>
        <w:pStyle w:val="Compact"/>
      </w:pPr>
      <w:r>
        <w:rPr>
          <w:bCs/>
          <w:b/>
        </w:rPr>
        <w:t xml:space="preserve">Optimize Use Phase Efficiency:</w:t>
      </w:r>
      <w:r>
        <w:t xml:space="preserve"> </w:t>
      </w:r>
      <w:r>
        <w:t xml:space="preserve">Invest in R&amp;D to significantly reduce the energy consumption of</w:t>
      </w:r>
      <w:r>
        <w:t xml:space="preserve"> </w:t>
      </w:r>
      <w:r>
        <w:rPr>
          <w:bCs/>
          <w:b/>
        </w:rPr>
        <w:t xml:space="preserve">uqelhsimdo</w:t>
      </w:r>
      <w:r>
        <w:t xml:space="preserve"> </w:t>
      </w:r>
      <w:r>
        <w:t xml:space="preserve">during its operational life. Explore low-power modes, energy-efficient components, and user awareness campaigns for sustainable usage.</w:t>
      </w:r>
    </w:p>
    <w:p>
      <w:pPr>
        <w:numPr>
          <w:ilvl w:val="0"/>
          <w:numId w:val="1012"/>
        </w:numPr>
        <w:pStyle w:val="Compact"/>
      </w:pPr>
      <w:r>
        <w:rPr>
          <w:bCs/>
          <w:b/>
        </w:rPr>
        <w:t xml:space="preserve">Sustainable Material Sourcing:</w:t>
      </w:r>
      <w:r>
        <w:t xml:space="preserve"> </w:t>
      </w:r>
      <w:r>
        <w:t xml:space="preserve">Investigate opportunities to source lower-carbon alternative materials for components like the circuit board and plastic casing. Engage with suppliers to promote renewable energy use in their manufacturing processes.</w:t>
      </w:r>
    </w:p>
    <w:p>
      <w:pPr>
        <w:numPr>
          <w:ilvl w:val="0"/>
          <w:numId w:val="1012"/>
        </w:numPr>
        <w:pStyle w:val="Compact"/>
      </w:pPr>
      <w:r>
        <w:rPr>
          <w:bCs/>
          <w:b/>
        </w:rPr>
        <w:t xml:space="preserve">Enhance Circularity:</w:t>
      </w:r>
      <w:r>
        <w:t xml:space="preserve"> </w:t>
      </w:r>
      <w:r>
        <w:t xml:space="preserve">Leverage the "Company-operated take-back scheme with material recovery and recycling" (rxyxodfxog) to maximize material recovery beyond the current 60% recyclability. Explore design for disassembly and repair to extend product life and facilitate high-quality recycling.</w:t>
      </w:r>
    </w:p>
    <w:p>
      <w:pPr>
        <w:numPr>
          <w:ilvl w:val="0"/>
          <w:numId w:val="1012"/>
        </w:numPr>
        <w:pStyle w:val="Compact"/>
      </w:pPr>
      <w:r>
        <w:rPr>
          <w:bCs/>
          <w:b/>
        </w:rPr>
        <w:t xml:space="preserve">Renewable Energy Expansion:</w:t>
      </w:r>
      <w:r>
        <w:t xml:space="preserve"> </w:t>
      </w:r>
      <w:r>
        <w:t xml:space="preserve">While 75% renewable energy is commendable, strive for 100% renewable energy procurement for manufacturing facilities in China to further reduce Scope 2 emissions.</w:t>
      </w:r>
    </w:p>
    <w:p>
      <w:pPr>
        <w:numPr>
          <w:ilvl w:val="0"/>
          <w:numId w:val="1012"/>
        </w:numPr>
        <w:pStyle w:val="Compact"/>
      </w:pPr>
      <w:r>
        <w:rPr>
          <w:bCs/>
          <w:b/>
        </w:rPr>
        <w:t xml:space="preserve">Logistics Optimization:</w:t>
      </w:r>
      <w:r>
        <w:t xml:space="preserve"> </w:t>
      </w:r>
      <w:r>
        <w:t xml:space="preserve">Continuously optimize transport routes and modes for both upstream and downstream logistics, prioritizing lower-emission options like rail or electric vehicles where feasible.</w:t>
      </w:r>
    </w:p>
    <w:bookmarkEnd w:id="42"/>
    <w:bookmarkStart w:id="43" w:name="limitations"/>
    <w:p>
      <w:pPr>
        <w:pStyle w:val="Heading3"/>
      </w:pPr>
      <w:r>
        <w:t xml:space="preserve">5.3. Limitations</w:t>
      </w:r>
    </w:p>
    <w:p>
      <w:pPr>
        <w:pStyle w:val="FirstParagraph"/>
      </w:pPr>
      <w:r>
        <w:t xml:space="preserve">It is important to acknowledge the limitations inherent in this report, primarily due to the use of placeholder values for several parameters:</w:t>
      </w:r>
    </w:p>
    <w:p>
      <w:pPr>
        <w:numPr>
          <w:ilvl w:val="0"/>
          <w:numId w:val="1013"/>
        </w:numPr>
        <w:pStyle w:val="Compact"/>
      </w:pPr>
      <w:r>
        <w:rPr>
          <w:bCs/>
          <w:b/>
        </w:rPr>
        <w:t xml:space="preserve">Illustrative Data:</w:t>
      </w:r>
      <w:r>
        <w:t xml:space="preserve"> </w:t>
      </w:r>
      <w:r>
        <w:t xml:space="preserve">For parameters such as \'Transport Mode\', \'Transport Distance\', \'Last-Mile Delivery Channel\', \'Renewable Energy Usage\', \'Energy Intensity\', \'Product Lifespan\', \'Energy Consumption in Use\', \'Recyclability Percentage\', and \'Circular/Take-back Programs\', placeholder values were provided. While these were used to illustrate the calculation methodology, actual emissions would require precise, primary data for these inputs.</w:t>
      </w:r>
    </w:p>
    <w:p>
      <w:pPr>
        <w:numPr>
          <w:ilvl w:val="0"/>
          <w:numId w:val="1013"/>
        </w:numPr>
        <w:pStyle w:val="Compact"/>
      </w:pPr>
      <w:r>
        <w:rPr>
          <w:bCs/>
          <w:b/>
        </w:rPr>
        <w:t xml:space="preserve">Generic Emission Factors:</w:t>
      </w:r>
      <w:r>
        <w:t xml:space="preserve"> </w:t>
      </w:r>
      <w:r>
        <w:t xml:space="preserve">Industry-standard emission factors from databases like Ecoinvent and DEFRA were used for general activities (e.g., electricity grid mixes, transport modes, EoL scenarios). While these represent best available averages, product-specific or supplier-specific emission factors would enhance accuracy.</w:t>
      </w:r>
    </w:p>
    <w:p>
      <w:pPr>
        <w:numPr>
          <w:ilvl w:val="0"/>
          <w:numId w:val="1013"/>
        </w:numPr>
        <w:pStyle w:val="Compact"/>
      </w:pPr>
      <w:r>
        <w:rPr>
          <w:bCs/>
          <w:b/>
        </w:rPr>
        <w:t xml:space="preserve">LSR Standard Application:</w:t>
      </w:r>
      <w:r>
        <w:t xml:space="preserve"> </w:t>
      </w:r>
      <w:r>
        <w:t xml:space="preserve">As the Land Sector and Removals (LSR) Standard is recently released (Jan 2026) and its accompanying guidance is forthcoming (Q2 2026), the application here is conceptual. Full and precise integration would require further detailed primary data and official guidance.</w:t>
      </w:r>
    </w:p>
    <w:p>
      <w:r>
        <w:pict>
          <v:rect style="width:0;height:1.5pt" o:hralign="center" o:hrstd="t" o:hr="t"/>
        </w:pict>
      </w:r>
    </w:p>
    <w:bookmarkEnd w:id="43"/>
    <w:bookmarkEnd w:id="44"/>
    <w:bookmarkStart w:id="45" w:name="conclusion"/>
    <w:p>
      <w:pPr>
        <w:pStyle w:val="Heading2"/>
      </w:pPr>
      <w:r>
        <w:t xml:space="preserve">6. Conclusion</w:t>
      </w:r>
    </w:p>
    <w:p>
      <w:pPr>
        <w:pStyle w:val="FirstParagraph"/>
      </w:pPr>
      <w:r>
        <w:t xml:space="preserve">This comprehensive Product Carbon Footprint analysis, conducted by</w:t>
      </w:r>
      <w:r>
        <w:t xml:space="preserve"> </w:t>
      </w:r>
      <w:r>
        <w:rPr>
          <w:bCs/>
          <w:b/>
        </w:rPr>
        <w:t xml:space="preserve">gmomuhyiht</w:t>
      </w:r>
      <w:r>
        <w:t xml:space="preserve"> </w:t>
      </w:r>
      <w:r>
        <w:t xml:space="preserve">for</w:t>
      </w:r>
      <w:r>
        <w:t xml:space="preserve"> </w:t>
      </w:r>
      <w:r>
        <w:rPr>
          <w:bCs/>
          <w:b/>
        </w:rPr>
        <w:t xml:space="preserve">redjekynsk</w:t>
      </w:r>
      <w:r>
        <w:t xml:space="preserve">\'s product</w:t>
      </w:r>
      <w:r>
        <w:t xml:space="preserve"> </w:t>
      </w:r>
      <w:r>
        <w:rPr>
          <w:bCs/>
          <w:b/>
        </w:rPr>
        <w:t xml:space="preserve">uqelhsimdo</w:t>
      </w:r>
      <w:r>
        <w:t xml:space="preserve">, provides critical insights into its environmental performance. Adhering to the GHG Protocol and anticipating 2026 reporting requirements, the report identifies a total lifecycle PCF of</w:t>
      </w:r>
      <w:r>
        <w:t xml:space="preserve"> </w:t>
      </w:r>
      <w:r>
        <w:rPr>
          <w:bCs/>
          <w:b/>
        </w:rPr>
        <w:t xml:space="preserve">53.05 kgCO2e per unit</w:t>
      </w:r>
      <w:r>
        <w:t xml:space="preserve">, with the use phase as the most significant contributor. The insights derived from this analysis will enable</w:t>
      </w:r>
      <w:r>
        <w:t xml:space="preserve"> </w:t>
      </w:r>
      <w:r>
        <w:rPr>
          <w:bCs/>
          <w:b/>
        </w:rPr>
        <w:t xml:space="preserve">redjekynsk</w:t>
      </w:r>
      <w:r>
        <w:t xml:space="preserve"> </w:t>
      </w:r>
      <w:r>
        <w:t xml:space="preserve">to strategically target emission reduction opportunities, enhance product sustainability, and strengthen its commitment to climate action and responsible manufacturing.</w:t>
      </w:r>
    </w:p>
    <w:p>
      <w:pPr>
        <w:pStyle w:val="BodyText"/>
      </w:pPr>
      <w:r>
        <w:t xml:space="preserve">Future iterations of this analysis should focus on collecting higher-fidelity primary data for all placeholder parameters to refine the accuracy of the PCF and provide more targeted recommendations.</w:t>
      </w:r>
    </w:p>
    <w:p>
      <w:pPr>
        <w:pStyle w:val="BodyText"/>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uqelhsimdo</dc:title>
  <dc:creator/>
  <dc:description>Detailed Product Carbon Footprint (PCF) analysis report for uqelhsimdo, adhering to GHG Protocol standards and 2026 updates, performed by redjekynsk.</dc:description>
  <dc:language>en</dc:language>
  <cp:keywords/>
  <dcterms:created xsi:type="dcterms:W3CDTF">2026-07-15T01:22:59Z</dcterms:created>
  <dcterms:modified xsi:type="dcterms:W3CDTF">2026-07-15T01:22:59Z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