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uptmdsltnm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uptmdsltnm"/>
    <w:p>
      <w:pPr>
        <w:pStyle w:val="Heading2"/>
      </w:pPr>
      <w:r>
        <w:t xml:space="preserve">Product: uptmdsltnm</w:t>
      </w:r>
    </w:p>
    <w:p>
      <w:pPr>
        <w:pStyle w:val="FirstParagraph"/>
      </w:pPr>
      <w:r>
        <w:rPr>
          <w:bCs/>
          <w:b/>
        </w:rPr>
        <w:t xml:space="preserve">Company Name:</w:t>
      </w:r>
      <w:r>
        <w:t xml:space="preserve"> </w:t>
      </w:r>
      <w:r>
        <w:t xml:space="preserve">hvfigxerpy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ewhrtvmoez</w:t>
      </w:r>
    </w:p>
    <w:p>
      <w:pPr>
        <w:pStyle w:val="BodyText"/>
      </w:pPr>
      <w:r>
        <w:t xml:space="preserve">This report is generated based on available data and industry standards. While every effort has been made to ensure accuracy, the actual carbon footprint may vary depending on real-world conditions and data precision.</w:t>
      </w:r>
    </w:p>
    <w:bookmarkEnd w:id="20"/>
    <w:bookmarkEnd w:id="21"/>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p>
      <w:pPr>
        <w:pStyle w:val="BodyText"/>
      </w:pPr>
      <w:r>
        <w:rPr>
          <w:bCs/>
          <w:b/>
        </w:rPr>
        <w:t xml:space="preserve">Senior Sustainability Consultant:</w:t>
      </w:r>
      <w:r>
        <w:t xml:space="preserve"> </w:t>
      </w:r>
      <w:r>
        <w:t xml:space="preserve">ewhrtvmoez</w:t>
      </w:r>
    </w:p>
    <w:p>
      <w:pPr>
        <w:pStyle w:val="BodyText"/>
      </w:pPr>
      <w:r>
        <w:rPr>
          <w:bCs/>
          <w:b/>
        </w:rPr>
        <w:t xml:space="preserve">Company Name:</w:t>
      </w:r>
      <w:r>
        <w:t xml:space="preserve"> </w:t>
      </w:r>
      <w:r>
        <w:t xml:space="preserve">hvfigxerpy</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"uptmdsltnm" manufactured by "hvfigxerpy". The analysis adheres to the Greenhouse Gas (GHG) Protocol, including the latest 2026 Land Sector and Removals (LSR) Standard update. The primary objective is to quantify the total greenhouse gas emissions associated with the product\'s lifecycle, from raw material acquisition through to end-of-life, within a factory-gate system boundary for the final production in China, with a focus on a Europe-centric supply chain. This assessment identifies emission hotspots and provides a foundational understanding for strategic emission reduction initiatives.</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scope of this Product Carbon Footprint (PCF) analysis for "uptmdsltnm" is defined according to the GHG Protocol\'s Product Standard, ensuring a comprehensive assessment of emissions across its lifecycle.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uptmdsltnm</w:t>
      </w:r>
      <w:r>
        <w:t xml:space="preserve">, serving its intended purpose for its specified lifespan.</w:t>
      </w:r>
    </w:p>
    <w:bookmarkEnd w:id="23"/>
    <w:bookmarkStart w:id="24" w:name="system-boundary"/>
    <w:p>
      <w:pPr>
        <w:pStyle w:val="Heading3"/>
      </w:pPr>
      <w:r>
        <w:t xml:space="preserve">1.2 System Boundary</w:t>
      </w:r>
    </w:p>
    <w:p>
      <w:pPr>
        <w:pStyle w:val="FirstParagraph"/>
      </w:pPr>
      <w:r>
        <w:t xml:space="preserve">The system boundary is set at</w:t>
      </w:r>
      <w:r>
        <w:t xml:space="preserve"> </w:t>
      </w:r>
      <w:r>
        <w:rPr>
          <w:bCs/>
          <w:b/>
        </w:rPr>
        <w:t xml:space="preserve">factory_gate</w:t>
      </w:r>
      <w:r>
        <w:t xml:space="preserve">. This encompasses all processes from the extraction of raw materials, through manufacturing, to the point where the finished product leaves the factory gate. While the primary system boundary is \'factory_gate\', a comprehensive lifecycle perspective is adopted to inform downstream impacts (use and end-of-life) for a holistic view.</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based on mass where co-products or by-products are identified, consistent with standard GHG Protocol guidance. Energy consumption is allocated directly to the product based on measured or modeled intensity.</w:t>
      </w:r>
    </w:p>
    <w:bookmarkEnd w:id="26"/>
    <w:bookmarkStart w:id="27" w:name="accounting-standard"/>
    <w:p>
      <w:pPr>
        <w:pStyle w:val="Heading3"/>
      </w:pPr>
      <w:r>
        <w:t xml:space="preserve">1.5 Accounting Standard</w:t>
      </w:r>
    </w:p>
    <w:p>
      <w:pPr>
        <w:pStyle w:val="FirstParagraph"/>
      </w:pPr>
      <w:r>
        <w:t xml:space="preserve">This analysis strictly follows the</w:t>
      </w:r>
      <w:r>
        <w:t xml:space="preserve"> </w:t>
      </w:r>
      <w:r>
        <w:rPr>
          <w:bCs/>
          <w:b/>
        </w:rPr>
        <w:t xml:space="preserve">GHG Protocol</w:t>
      </w:r>
      <w:r>
        <w:t xml:space="preserve"> </w:t>
      </w:r>
      <w:r>
        <w:t xml:space="preserve">for accounting and reporting greenhouse gas emissions, categorizing them into Scope 1 (direct emissions), Scope 2 (indirect emissions from purchased energy), and Scope 3 (other indirect emissions across the value chain).</w:t>
      </w:r>
    </w:p>
    <w:p>
      <w:pPr>
        <w:pStyle w:val="BodyText"/>
      </w:pPr>
      <w:r>
        <w:t xml:space="preserve">Furthermore, this report applies the principles of the</w:t>
      </w:r>
      <w:r>
        <w:t xml:space="preserve"> </w:t>
      </w:r>
      <w:r>
        <w:rPr>
          <w:bCs/>
          <w:b/>
        </w:rPr>
        <w:t xml:space="preserve">2026 Land Sector and Removals (LSR) Standard update</w:t>
      </w:r>
      <w:r>
        <w:t xml:space="preserve"> </w:t>
      </w:r>
      <w:r>
        <w:t xml:space="preserve">for land use and carbon removals. The LSR Standard, effective January 1, 2027, provides guidelines for companies with land-based activities or those reporting CO2 removals. While direct land-use emissions for "uptmdsltnm" are not explicitly provided in the parameters, the framework for assessing such impacts, if relevant, has been considered in the methodology.</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outlines the lifecycle stages of "uptmdsltnm" and the data collected for each, including primary data provided in the parameters and secondary data from industry-standard databases like Ecoinvent and DEFRA.</w:t>
      </w:r>
    </w:p>
    <w:bookmarkStart w:id="29" w:name="Xa124a95b981c370289279a4b723120ad8e79cc2"/>
    <w:p>
      <w:pPr>
        <w:pStyle w:val="Heading3"/>
      </w:pPr>
      <w:r>
        <w:t xml:space="preserve">2.1 Materials Acquisition &amp; Pre-processing (Scope 3 - Upstream)</w:t>
      </w:r>
    </w:p>
    <w:p>
      <w:pPr>
        <w:pStyle w:val="FirstParagraph"/>
      </w:pPr>
      <w:r>
        <w:t xml:space="preserve">The Detailed Bill of Materials (BOM) for "uptmdsltnm" (ogmkvthm) has been used to calculate the high-accuracy material impact. For calculation purposes, representative emission factors are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M005</w:t>
            </w:r>
          </w:p>
        </w:tc>
        <w:tc>
          <w:tcPr/>
          <w:p>
            <w:pPr>
              <w:pStyle w:val="Compact"/>
              <w:jc w:val="left"/>
            </w:pPr>
            <w:r>
              <w:t xml:space="preserve">Internal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Rubber Seals</w:t>
            </w:r>
          </w:p>
        </w:tc>
        <w:tc>
          <w:tcPr/>
          <w:p>
            <w:pPr>
              <w:pStyle w:val="Compact"/>
              <w:jc w:val="left"/>
            </w:pPr>
            <w:r>
              <w:t xml:space="preserve">Elastomers</w:t>
            </w:r>
          </w:p>
        </w:tc>
        <w:tc>
          <w:tcPr/>
          <w:p>
            <w:pPr>
              <w:pStyle w:val="Compact"/>
              <w:jc w:val="left"/>
            </w:pPr>
            <w:r>
              <w:t xml:space="preserve">Molding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0.009</w:t>
            </w:r>
          </w:p>
        </w:tc>
      </w:tr>
    </w:tbl>
    <w:p>
      <w:pPr>
        <w:pStyle w:val="BodyText"/>
      </w:pPr>
      <w:r>
        <w:rPr>
          <w:iCs/>
          <w:i/>
        </w:rPr>
        <w:t xml:space="preserve">Note: Emission Factors for materials are illustrative, based on typical values from databases like Ecoinvent v3.11 and v3.9 for plastics and metals, which have seen updates incorporating more detailed crude oil and natural gas supply data, including methane emissions from extraction.</w:t>
      </w:r>
    </w:p>
    <w:bookmarkEnd w:id="29"/>
    <w:bookmarkStart w:id="30" w:name="Xd16a7f7744360435126f245cc7a7365d3961411"/>
    <w:p>
      <w:pPr>
        <w:pStyle w:val="Heading3"/>
      </w:pPr>
      <w:r>
        <w:t xml:space="preserve">2.2 Manufacturing (Scope 1, Scope 2, Scope 3 - Upstream)</w:t>
      </w:r>
    </w:p>
    <w:p>
      <w:pPr>
        <w:pStyle w:val="FirstParagraph"/>
      </w:pPr>
      <w:r>
        <w:t xml:space="preserve">Production takes place in China.</w:t>
      </w:r>
    </w:p>
    <w:p>
      <w:pPr>
        <w:numPr>
          <w:ilvl w:val="0"/>
          <w:numId w:val="1002"/>
        </w:numPr>
        <w:pStyle w:val="Compact"/>
      </w:pPr>
      <w:r>
        <w:rPr>
          <w:bCs/>
          <w:b/>
        </w:rPr>
        <w:t xml:space="preserve">Energy Intensity (kWh/unit):</w:t>
      </w:r>
      <w:r>
        <w:t xml:space="preserve"> </w:t>
      </w:r>
      <w:r>
        <w:t xml:space="preserve">lkoxixxtyr (assumed 5 kWh/unit for calculations)</w:t>
      </w:r>
    </w:p>
    <w:p>
      <w:pPr>
        <w:numPr>
          <w:ilvl w:val="0"/>
          <w:numId w:val="1002"/>
        </w:numPr>
        <w:pStyle w:val="Compact"/>
      </w:pPr>
      <w:r>
        <w:rPr>
          <w:bCs/>
          <w:b/>
        </w:rPr>
        <w:t xml:space="preserve">Renewable Energy Usage:</w:t>
      </w:r>
      <w:r>
        <w:t xml:space="preserve"> </w:t>
      </w:r>
      <w:r>
        <w:t xml:space="preserve">xvrdgjksii (assumed 70% for calculations)</w:t>
      </w:r>
    </w:p>
    <w:p>
      <w:pPr>
        <w:pStyle w:val="FirstParagraph"/>
      </w:pPr>
      <w:r>
        <w:t xml:space="preserve">The average carbon intensity of electricity in China was 0.6205 kg CO₂e/kWh in 2023. China\'s electricity generation from clean sources was 42% in 2025, with renewable capacity growing significantly.</w:t>
      </w:r>
    </w:p>
    <w:p>
      <w:pPr>
        <w:pStyle w:val="BodyText"/>
      </w:pPr>
      <w:r>
        <w:t xml:space="preserve">Direct emissions (Scope 1) from on-site fuel combustion are considered negligible or zero unless specified.</w:t>
      </w:r>
    </w:p>
    <w:bookmarkEnd w:id="30"/>
    <w:bookmarkStart w:id="31" w:name="transport-scope-3---upstream-downstream"/>
    <w:p>
      <w:pPr>
        <w:pStyle w:val="Heading3"/>
      </w:pPr>
      <w:r>
        <w:t xml:space="preserve">2.3 Transport (Scope 3 - Upstream &amp; Downstream)</w:t>
      </w:r>
    </w:p>
    <w:p>
      <w:pPr>
        <w:pStyle w:val="FirstParagraph"/>
      </w:pPr>
      <w:r>
        <w:t xml:space="preserve">Logistics data incorporates specific parameters for both upstream material transport and potential downstream distribution.</w:t>
      </w:r>
    </w:p>
    <w:p>
      <w:pPr>
        <w:numPr>
          <w:ilvl w:val="0"/>
          <w:numId w:val="1003"/>
        </w:numPr>
        <w:pStyle w:val="Compact"/>
      </w:pPr>
      <w:r>
        <w:rPr>
          <w:bCs/>
          <w:b/>
        </w:rPr>
        <w:t xml:space="preserve">Transport Mode:</w:t>
      </w:r>
      <w:r>
        <w:t xml:space="preserve"> </w:t>
      </w:r>
      <w:r>
        <w:t xml:space="preserve">Select Mode (e.g., Sea Freight, Road Freight)</w:t>
      </w:r>
    </w:p>
    <w:p>
      <w:pPr>
        <w:numPr>
          <w:ilvl w:val="0"/>
          <w:numId w:val="1003"/>
        </w:numPr>
        <w:pStyle w:val="Compact"/>
      </w:pPr>
      <w:r>
        <w:rPr>
          <w:bCs/>
          <w:b/>
        </w:rPr>
        <w:t xml:space="preserve">Transport Distance:</w:t>
      </w:r>
      <w:r>
        <w:t xml:space="preserve"> </w:t>
      </w:r>
      <w:r>
        <w:t xml:space="preserve">nxjtxnznlu (assumed 1500 km for calculations)</w:t>
      </w:r>
    </w:p>
    <w:p>
      <w:pPr>
        <w:numPr>
          <w:ilvl w:val="0"/>
          <w:numId w:val="1003"/>
        </w:numPr>
        <w:pStyle w:val="Compact"/>
      </w:pPr>
      <w:r>
        <w:rPr>
          <w:bCs/>
          <w:b/>
        </w:rPr>
        <w:t xml:space="preserve">Last-Mile Delivery Channel:</w:t>
      </w:r>
      <w:r>
        <w:t xml:space="preserve"> </w:t>
      </w:r>
      <w:r>
        <w:t xml:space="preserve">Delivery Type (e.g., Van Delivery)</w:t>
      </w:r>
    </w:p>
    <w:p>
      <w:pPr>
        <w:pStyle w:val="FirstParagraph"/>
      </w:pPr>
      <w:r>
        <w:rPr>
          <w:iCs/>
          <w:i/>
        </w:rPr>
        <w:t xml:space="preserve">Note: Emission factors for transport activities are based on industry standards, such as DEFRA\'s annually updated conversion factors, which account for various vehicle types and fuel consumption.</w:t>
      </w:r>
    </w:p>
    <w:bookmarkEnd w:id="31"/>
    <w:bookmarkStart w:id="32" w:name="use-phase-scope-3---downstream"/>
    <w:p>
      <w:pPr>
        <w:pStyle w:val="Heading3"/>
      </w:pPr>
      <w:r>
        <w:t xml:space="preserve">2.4 Use Phase (Scope 3 - Downstream)</w:t>
      </w:r>
    </w:p>
    <w:p>
      <w:pPr>
        <w:pStyle w:val="FirstParagraph"/>
      </w:pPr>
      <w:r>
        <w:t xml:space="preserve">The use phase emissions are calculated based on the product\'s durability and energy consumption during its operational life.</w:t>
      </w:r>
    </w:p>
    <w:p>
      <w:pPr>
        <w:numPr>
          <w:ilvl w:val="0"/>
          <w:numId w:val="1004"/>
        </w:numPr>
        <w:pStyle w:val="Compact"/>
      </w:pPr>
      <w:r>
        <w:rPr>
          <w:bCs/>
          <w:b/>
        </w:rPr>
        <w:t xml:space="preserve">Product Lifespan:</w:t>
      </w:r>
      <w:r>
        <w:t xml:space="preserve"> </w:t>
      </w:r>
      <w:r>
        <w:t xml:space="preserve">xwgoututfr (assumed 5 years for calculations)</w:t>
      </w:r>
    </w:p>
    <w:p>
      <w:pPr>
        <w:numPr>
          <w:ilvl w:val="0"/>
          <w:numId w:val="1004"/>
        </w:numPr>
        <w:pStyle w:val="Compact"/>
      </w:pPr>
      <w:r>
        <w:rPr>
          <w:bCs/>
          <w:b/>
        </w:rPr>
        <w:t xml:space="preserve">Energy Consumption in Use:</w:t>
      </w:r>
      <w:r>
        <w:t xml:space="preserve"> </w:t>
      </w:r>
      <w:r>
        <w:t xml:space="preserve">wvkpnuowqt (assumed 10 kWh/year for calculations)</w:t>
      </w:r>
    </w:p>
    <w:bookmarkEnd w:id="32"/>
    <w:bookmarkStart w:id="33" w:name="end-of-life-eol-scope-3---downstream"/>
    <w:p>
      <w:pPr>
        <w:pStyle w:val="Heading3"/>
      </w:pPr>
      <w:r>
        <w:t xml:space="preserve">2.5 End-of-Life (EoL) (Scope 3 - Downstream)</w:t>
      </w:r>
    </w:p>
    <w:p>
      <w:pPr>
        <w:pStyle w:val="FirstParagraph"/>
      </w:pPr>
      <w:r>
        <w:t xml:space="preserve">End-of-life scenarios consider recyclability and circular economy programs.</w:t>
      </w:r>
    </w:p>
    <w:p>
      <w:pPr>
        <w:numPr>
          <w:ilvl w:val="0"/>
          <w:numId w:val="1005"/>
        </w:numPr>
        <w:pStyle w:val="Compact"/>
      </w:pPr>
      <w:r>
        <w:rPr>
          <w:bCs/>
          <w:b/>
        </w:rPr>
        <w:t xml:space="preserve">Recyclability Percentage:</w:t>
      </w:r>
      <w:r>
        <w:t xml:space="preserve"> </w:t>
      </w:r>
      <w:r>
        <w:t xml:space="preserve">fkpgqimdod (assumed 80% for calculations)</w:t>
      </w:r>
    </w:p>
    <w:p>
      <w:pPr>
        <w:numPr>
          <w:ilvl w:val="0"/>
          <w:numId w:val="1005"/>
        </w:numPr>
        <w:pStyle w:val="Compact"/>
      </w:pPr>
      <w:r>
        <w:rPr>
          <w:bCs/>
          <w:b/>
        </w:rPr>
        <w:t xml:space="preserve">Circular/Take-back Programs:</w:t>
      </w:r>
      <w:r>
        <w:t xml:space="preserve"> </w:t>
      </w:r>
      <w:r>
        <w:t xml:space="preserve">qshnvuegef (assumed "Active with 15% return rate" for calculations)</w:t>
      </w:r>
    </w:p>
    <w:p>
      <w:pPr>
        <w:pStyle w:val="FirstParagraph"/>
      </w:pPr>
      <w:r>
        <w:t xml:space="preserve">Recycling processes for materials like plastics can significantly reduce carbon emissions. For instance, the ecoinvent database includes data for mechanical recycling of plastic waste in Europe.</w:t>
      </w:r>
    </w:p>
    <w:p>
      <w:r>
        <w:pict>
          <v:rect style="width:0;height:1.5pt" o:hralign="center" o:hrstd="t" o:hr="t"/>
        </w:pict>
      </w:r>
    </w:p>
    <w:bookmarkEnd w:id="33"/>
    <w:bookmarkEnd w:id="34"/>
    <w:bookmarkStart w:id="46" w:name="Xb404f6bea4a0013006ec7a9103609d9ea6643c1"/>
    <w:p>
      <w:pPr>
        <w:pStyle w:val="Heading2"/>
      </w:pPr>
      <w:r>
        <w:t xml:space="preserve">4. Calculate Emissions (Activity * Emission Factor = CO2e)</w:t>
      </w:r>
    </w:p>
    <w:p>
      <w:pPr>
        <w:pStyle w:val="FirstParagraph"/>
      </w:pPr>
      <w:r>
        <w:t xml:space="preserve">This section details the calculation of emissions for each lifecycle stage, categorized by GHG Protocol Scopes. Industry-standard emission factors from sources like Ecoinvent and DEFRA are utilized.</w:t>
      </w:r>
    </w:p>
    <w:bookmarkStart w:id="35" w:name="X0f752af40d55d30f8220ca7ccb23ffa2acbc78e"/>
    <w:p>
      <w:pPr>
        <w:pStyle w:val="Heading3"/>
      </w:pPr>
      <w:r>
        <w:t xml:space="preserve">4.1 Emission Factors Used (Illustrative Examples)</w:t>
      </w:r>
    </w:p>
    <w:p>
      <w:pPr>
        <w:numPr>
          <w:ilvl w:val="0"/>
          <w:numId w:val="1006"/>
        </w:numPr>
        <w:pStyle w:val="Compact"/>
      </w:pPr>
      <w:r>
        <w:rPr>
          <w:bCs/>
          <w:b/>
        </w:rPr>
        <w:t xml:space="preserve">Electricity Grid (China average, 2023):</w:t>
      </w:r>
      <w:r>
        <w:t xml:space="preserve"> </w:t>
      </w:r>
      <w:r>
        <w:t xml:space="preserve">0.6205 kg CO₂e/kWh</w:t>
      </w:r>
    </w:p>
    <w:p>
      <w:pPr>
        <w:numPr>
          <w:ilvl w:val="0"/>
          <w:numId w:val="1006"/>
        </w:numPr>
        <w:pStyle w:val="Compact"/>
      </w:pPr>
      <w:r>
        <w:rPr>
          <w:bCs/>
          <w:b/>
        </w:rPr>
        <w:t xml:space="preserve">Plastic (e.g., Polypropylene):</w:t>
      </w:r>
      <w:r>
        <w:t xml:space="preserve"> </w:t>
      </w:r>
      <w:r>
        <w:t xml:space="preserve">~2.0 - 3.0 kg CO₂e/kg (varies by type and process, referencing Ecoinvent data which has seen updates increasing the carbon footprint of fossil-based plastics)</w:t>
      </w:r>
    </w:p>
    <w:p>
      <w:pPr>
        <w:numPr>
          <w:ilvl w:val="0"/>
          <w:numId w:val="1006"/>
        </w:numPr>
        <w:pStyle w:val="Compact"/>
      </w:pPr>
      <w:r>
        <w:rPr>
          <w:bCs/>
          <w:b/>
        </w:rPr>
        <w:t xml:space="preserve">Metals (e.g., Aluminum):</w:t>
      </w:r>
      <w:r>
        <w:t xml:space="preserve"> </w:t>
      </w:r>
      <w:r>
        <w:t xml:space="preserve">~5.0 - 10.0 kg CO₂e/kg (varies by type and primary/recycled content)</w:t>
      </w:r>
    </w:p>
    <w:p>
      <w:pPr>
        <w:numPr>
          <w:ilvl w:val="0"/>
          <w:numId w:val="1006"/>
        </w:numPr>
        <w:pStyle w:val="Compact"/>
      </w:pPr>
      <w:r>
        <w:rPr>
          <w:bCs/>
          <w:b/>
        </w:rPr>
        <w:t xml:space="preserve">Road Freight (Heavy Goods Vehicle, Euro VI, average load):</w:t>
      </w:r>
      <w:r>
        <w:t xml:space="preserve"> </w:t>
      </w:r>
      <w:r>
        <w:t xml:space="preserve">~0.08 - 0.15 kg CO₂e/tkm (tonne-kilometer, DEFRA 2025 factors)</w:t>
      </w:r>
    </w:p>
    <w:p>
      <w:pPr>
        <w:numPr>
          <w:ilvl w:val="0"/>
          <w:numId w:val="1006"/>
        </w:numPr>
        <w:pStyle w:val="Compact"/>
      </w:pPr>
      <w:r>
        <w:rPr>
          <w:bCs/>
          <w:b/>
        </w:rPr>
        <w:t xml:space="preserve">Sea Freight (Container Ship):</w:t>
      </w:r>
      <w:r>
        <w:t xml:space="preserve"> </w:t>
      </w:r>
      <w:r>
        <w:t xml:space="preserve">~0.01 - 0.02 kg CO₂e/tkm</w:t>
      </w:r>
    </w:p>
    <w:bookmarkEnd w:id="35"/>
    <w:bookmarkStart w:id="41" w:name="emissions-by-lifecycle-stage-and-scope"/>
    <w:p>
      <w:pPr>
        <w:pStyle w:val="Heading3"/>
      </w:pPr>
      <w:r>
        <w:t xml:space="preserve">4.2 Emissions by Lifecycle Stage and Scope</w:t>
      </w:r>
    </w:p>
    <w:bookmarkStart w:id="36" w:name="Xff7c5413fb98c162b1334f26f3e47909acbc514"/>
    <w:p>
      <w:pPr>
        <w:pStyle w:val="Heading4"/>
      </w:pPr>
      <w:r>
        <w:t xml:space="preserve">4.2.1 Materials Acquisition &amp; Pre-processing (Scope 3 - Upstream)</w:t>
      </w:r>
    </w:p>
    <w:p>
      <w:pPr>
        <w:pStyle w:val="FirstParagraph"/>
      </w:pPr>
      <w:r>
        <w:t xml:space="preserve">Based on the provided BOM (`ogmkvthm`) and illustrative emission factors: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Plastics (Casing)</w:t>
            </w:r>
          </w:p>
        </w:tc>
        <w:tc>
          <w:tcPr/>
          <w:p>
            <w:pPr>
              <w:pStyle w:val="Compact"/>
              <w:jc w:val="left"/>
            </w:pPr>
            <w:r>
              <w:t xml:space="preserve">0.50</w:t>
            </w:r>
          </w:p>
        </w:tc>
      </w:tr>
      <w:tr>
        <w:tc>
          <w:tcPr/>
          <w:p>
            <w:pPr>
              <w:pStyle w:val="Compact"/>
              <w:jc w:val="left"/>
            </w:pPr>
            <w:r>
              <w:t xml:space="preserve">Metals (Screws, Wiring)</w:t>
            </w:r>
          </w:p>
        </w:tc>
        <w:tc>
          <w:tcPr/>
          <w:p>
            <w:pPr>
              <w:pStyle w:val="Compact"/>
              <w:jc w:val="left"/>
            </w:pPr>
            <w:r>
              <w:t xml:space="preserve">0.11</w:t>
            </w:r>
          </w:p>
        </w:tc>
      </w:tr>
      <w:tr>
        <w:tc>
          <w:tcPr/>
          <w:p>
            <w:pPr>
              <w:pStyle w:val="Compact"/>
              <w:jc w:val="left"/>
            </w:pPr>
            <w:r>
              <w:t xml:space="preserve">Electronics (Circuit Board)</w:t>
            </w:r>
          </w:p>
        </w:tc>
        <w:tc>
          <w:tcPr/>
          <w:p>
            <w:pPr>
              <w:pStyle w:val="Compact"/>
              <w:jc w:val="left"/>
            </w:pPr>
            <w:r>
              <w:t xml:space="preserve">0.50</w:t>
            </w:r>
          </w:p>
        </w:tc>
      </w:tr>
      <w:tr>
        <w:tc>
          <w:tcPr/>
          <w:p>
            <w:pPr>
              <w:pStyle w:val="Compact"/>
              <w:jc w:val="left"/>
            </w:pPr>
            <w:r>
              <w:t xml:space="preserve">Paper &amp; Board (Packaging)</w:t>
            </w:r>
          </w:p>
        </w:tc>
        <w:tc>
          <w:tcPr/>
          <w:p>
            <w:pPr>
              <w:pStyle w:val="Compact"/>
              <w:jc w:val="left"/>
            </w:pPr>
            <w:r>
              <w:t xml:space="preserve">0.12</w:t>
            </w:r>
          </w:p>
        </w:tc>
      </w:tr>
      <w:tr>
        <w:tc>
          <w:tcPr/>
          <w:p>
            <w:pPr>
              <w:pStyle w:val="Compact"/>
              <w:jc w:val="left"/>
            </w:pPr>
            <w:r>
              <w:t xml:space="preserve">Elastomers (Seals)</w:t>
            </w:r>
          </w:p>
        </w:tc>
        <w:tc>
          <w:tcPr/>
          <w:p>
            <w:pPr>
              <w:pStyle w:val="Compact"/>
              <w:jc w:val="left"/>
            </w:pPr>
            <w:r>
              <w:t xml:space="preserve">0.009</w:t>
            </w:r>
          </w:p>
        </w:tc>
      </w:tr>
      <w:tr>
        <w:tc>
          <w:tcPr/>
          <w:p>
            <w:pPr>
              <w:pStyle w:val="Compact"/>
              <w:jc w:val="left"/>
            </w:pPr>
            <w:r>
              <w:t xml:space="preserve">Total Material Emissions (estimated)</w:t>
            </w:r>
          </w:p>
        </w:tc>
        <w:tc>
          <w:tcPr/>
          <w:p>
            <w:pPr>
              <w:pStyle w:val="Compact"/>
              <w:jc w:val="left"/>
            </w:pPr>
            <w:r>
              <w:t xml:space="preserve">1.239 kg CO2e</w:t>
            </w:r>
          </w:p>
        </w:tc>
      </w:tr>
    </w:tbl>
    <w:bookmarkEnd w:id="36"/>
    <w:bookmarkStart w:id="37" w:name="X01b49b80d39dbdcf248231e7ea8f020d73595e1"/>
    <w:p>
      <w:pPr>
        <w:pStyle w:val="Heading4"/>
      </w:pPr>
      <w:r>
        <w:t xml:space="preserve">4.2.2 Manufacturing (Scope 1, Scope 2, Scope 3 - Upstream)</w:t>
      </w:r>
    </w:p>
    <w:p>
      <w:pPr>
        <w:numPr>
          <w:ilvl w:val="0"/>
          <w:numId w:val="1007"/>
        </w:numPr>
        <w:pStyle w:val="Compact"/>
      </w:pPr>
      <w:r>
        <w:rPr>
          <w:bCs/>
          <w:b/>
        </w:rPr>
        <w:t xml:space="preserve">Energy Intensity:</w:t>
      </w:r>
      <w:r>
        <w:t xml:space="preserve"> </w:t>
      </w:r>
      <w:r>
        <w:t xml:space="preserve">5 kWh/unit</w:t>
      </w:r>
    </w:p>
    <w:p>
      <w:pPr>
        <w:numPr>
          <w:ilvl w:val="0"/>
          <w:numId w:val="1007"/>
        </w:numPr>
        <w:pStyle w:val="Compact"/>
      </w:pPr>
      <w:r>
        <w:rPr>
          <w:bCs/>
          <w:b/>
        </w:rPr>
        <w:t xml:space="preserve">Renewable Energy Usage:</w:t>
      </w:r>
      <w:r>
        <w:t xml:space="preserve"> </w:t>
      </w:r>
      <w:r>
        <w:t xml:space="preserve">70%</w:t>
      </w:r>
    </w:p>
    <w:p>
      <w:pPr>
        <w:numPr>
          <w:ilvl w:val="0"/>
          <w:numId w:val="1007"/>
        </w:numPr>
        <w:pStyle w:val="Compact"/>
      </w:pPr>
      <w:r>
        <w:rPr>
          <w:bCs/>
          <w:b/>
        </w:rPr>
        <w:t xml:space="preserve">Non-renewable Energy Usage:</w:t>
      </w:r>
      <w:r>
        <w:t xml:space="preserve"> </w:t>
      </w:r>
      <w:r>
        <w:t xml:space="preserve">30%</w:t>
      </w:r>
    </w:p>
    <w:p>
      <w:pPr>
        <w:numPr>
          <w:ilvl w:val="0"/>
          <w:numId w:val="1007"/>
        </w:numPr>
        <w:pStyle w:val="Compact"/>
      </w:pPr>
      <w:r>
        <w:rPr>
          <w:bCs/>
          <w:b/>
        </w:rPr>
        <w:t xml:space="preserve">Chinese Grid Emission Factor:</w:t>
      </w:r>
      <w:r>
        <w:t xml:space="preserve"> </w:t>
      </w:r>
      <w:r>
        <w:t xml:space="preserve">0.6205 kg CO₂e/kWh</w:t>
      </w:r>
    </w:p>
    <w:p>
      <w:pPr>
        <w:pStyle w:val="FirstParagraph"/>
      </w:pPr>
      <w:r>
        <w:rPr>
          <w:bCs/>
          <w:b/>
        </w:rPr>
        <w:t xml:space="preserve">Scope 2 (Electricity Consumption):</w:t>
      </w:r>
      <w:r>
        <w:br/>
      </w:r>
      <w:r>
        <w:t xml:space="preserve">Non-renewable electricity = 5 kWh/unit * (1 - 0.70) = 1.5 kWh/unit</w:t>
      </w:r>
      <w:r>
        <w:br/>
      </w:r>
      <w:r>
        <w:t xml:space="preserve">Scope 2 Emissions = 1.5 kWh/unit * 0.6205 kg CO₂e/kWh = 0.93075 kg CO₂e/unit</w:t>
      </w:r>
    </w:p>
    <w:p>
      <w:pPr>
        <w:pStyle w:val="BodyText"/>
      </w:pPr>
      <w:r>
        <w:rPr>
          <w:bCs/>
          <w:b/>
        </w:rPr>
        <w:t xml:space="preserve">Scope 1 (Direct Emissions from operations):</w:t>
      </w:r>
      <w:r>
        <w:t xml:space="preserve"> </w:t>
      </w:r>
      <w:r>
        <w:t xml:space="preserve">Assumed negligible based on general product manufacturing unless on-site fossil fuel combustion is significant. For high-tech manufacturing, hardware production is a dominant source of carbon emissions.</w:t>
      </w:r>
    </w:p>
    <w:p>
      <w:pPr>
        <w:pStyle w:val="BodyText"/>
      </w:pPr>
      <w:r>
        <w:rPr>
          <w:bCs/>
          <w:b/>
        </w:rPr>
        <w:t xml:space="preserve">Scope 3 (Upstream Energy-related, e.g., T&amp;D losses, fuel production for purchased electricity):</w:t>
      </w:r>
      <w:r>
        <w:t xml:space="preserve"> </w:t>
      </w:r>
      <w:r>
        <w:t xml:space="preserve">Not explicitly calculated here due to boundary definition, but covered under broader Scope 3.</w:t>
      </w:r>
    </w:p>
    <w:bookmarkEnd w:id="37"/>
    <w:bookmarkStart w:id="38" w:name="X7a22b29e66bc9b448d643a0de4df2cb965e474c"/>
    <w:p>
      <w:pPr>
        <w:pStyle w:val="Heading4"/>
      </w:pPr>
      <w:r>
        <w:t xml:space="preserve">4.2.3 Transport (Scope 3 - Upstream &amp; Downstream)</w:t>
      </w:r>
    </w:p>
    <w:p>
      <w:pPr>
        <w:pStyle w:val="FirstParagraph"/>
      </w:pPr>
      <w:r>
        <w:t xml:space="preserve">Assuming a product weight of ~0.5 kg (from BOM components) for transport calculations, and average load factors.</w:t>
      </w:r>
    </w:p>
    <w:p>
      <w:pPr>
        <w:numPr>
          <w:ilvl w:val="0"/>
          <w:numId w:val="1008"/>
        </w:numPr>
        <w:pStyle w:val="Compact"/>
      </w:pPr>
      <w:r>
        <w:rPr>
          <w:bCs/>
          <w:b/>
        </w:rPr>
        <w:t xml:space="preserve">Transport Mode:</w:t>
      </w:r>
      <w:r>
        <w:t xml:space="preserve"> </w:t>
      </w:r>
      <w:r>
        <w:t xml:space="preserve">Select Mode (assumed to be a mix of sea freight for raw materials/components to China and road freight for distribution in Europe)</w:t>
      </w:r>
    </w:p>
    <w:p>
      <w:pPr>
        <w:numPr>
          <w:ilvl w:val="0"/>
          <w:numId w:val="1008"/>
        </w:numPr>
        <w:pStyle w:val="Compact"/>
      </w:pPr>
      <w:r>
        <w:rPr>
          <w:bCs/>
          <w:b/>
        </w:rPr>
        <w:t xml:space="preserve">Transport Distance:</w:t>
      </w:r>
      <w:r>
        <w:t xml:space="preserve"> </w:t>
      </w:r>
      <w:r>
        <w:t xml:space="preserve">1500 km</w:t>
      </w:r>
    </w:p>
    <w:p>
      <w:pPr>
        <w:numPr>
          <w:ilvl w:val="0"/>
          <w:numId w:val="1008"/>
        </w:numPr>
        <w:pStyle w:val="Compact"/>
      </w:pPr>
      <w:r>
        <w:rPr>
          <w:bCs/>
          <w:b/>
        </w:rPr>
        <w:t xml:space="preserve">Last-Mile Delivery Channel:</w:t>
      </w:r>
      <w:r>
        <w:t xml:space="preserve"> </w:t>
      </w:r>
      <w:r>
        <w:t xml:space="preserve">Delivery Type (assumed to be light commercial vehicle)</w:t>
      </w:r>
    </w:p>
    <w:p>
      <w:pPr>
        <w:pStyle w:val="FirstParagraph"/>
      </w:pPr>
      <w:r>
        <w:rPr>
          <w:bCs/>
          <w:b/>
        </w:rPr>
        <w:t xml:space="preserve">Illustrative Transport Emission Calculation (e.g., Road Freight, Europe Focused):</w:t>
      </w:r>
      <w:r>
        <w:br/>
      </w:r>
      <w:r>
        <w:t xml:space="preserve">Assume an emission factor of 0.1 kg CO₂e/tkm for "Select Mode" road freight (DEFRA average).</w:t>
      </w:r>
      <w:r>
        <w:br/>
      </w:r>
      <w:r>
        <w:t xml:space="preserve">Product mass = 0.5 kg = 0.0005 tonnes</w:t>
      </w:r>
      <w:r>
        <w:br/>
      </w:r>
      <w:r>
        <w:t xml:space="preserve">Transport Emissions = 0.0005 tonnes * 1500 km * 0.1 kg CO₂e/tkm = 0.075 kg CO₂e/unit</w:t>
      </w:r>
    </w:p>
    <w:p>
      <w:pPr>
        <w:pStyle w:val="BodyText"/>
      </w:pPr>
      <w:r>
        <w:t xml:space="preserve">This value is highly illustrative and would require specific transport distances and modes for each material and product delivery.</w:t>
      </w:r>
    </w:p>
    <w:bookmarkEnd w:id="38"/>
    <w:bookmarkStart w:id="39" w:name="use-phase-scope-3---downstream-1"/>
    <w:p>
      <w:pPr>
        <w:pStyle w:val="Heading4"/>
      </w:pPr>
      <w:r>
        <w:t xml:space="preserve">4.2.4 Use Phase (Scope 3 - Downstream)</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10 kWh/year</w:t>
      </w:r>
    </w:p>
    <w:p>
      <w:pPr>
        <w:numPr>
          <w:ilvl w:val="0"/>
          <w:numId w:val="1009"/>
        </w:numPr>
        <w:pStyle w:val="Compact"/>
      </w:pPr>
      <w:r>
        <w:rPr>
          <w:bCs/>
          <w:b/>
        </w:rPr>
        <w:t xml:space="preserve">Chinese Grid Emission Factor (where applicable):</w:t>
      </w:r>
      <w:r>
        <w:t xml:space="preserve"> </w:t>
      </w:r>
      <w:r>
        <w:t xml:space="preserve">0.6205 kg CO₂e/kWh</w:t>
      </w:r>
    </w:p>
    <w:p>
      <w:pPr>
        <w:pStyle w:val="FirstParagraph"/>
      </w:pPr>
      <w:r>
        <w:rPr>
          <w:bCs/>
          <w:b/>
        </w:rPr>
        <w:t xml:space="preserve">Use Phase Emissions (assuming grid electricity):</w:t>
      </w:r>
      <w:r>
        <w:br/>
      </w:r>
      <w:r>
        <w:t xml:space="preserve">Total Energy Consumption = 10 kWh/year * 5 years = 50 kWh/unit</w:t>
      </w:r>
      <w:r>
        <w:br/>
      </w:r>
      <w:r>
        <w:t xml:space="preserve">Use Phase Emissions = 50 kWh/unit * 0.6205 kg CO₂e/kWh = 31.025 kg CO₂e/unit</w:t>
      </w:r>
    </w:p>
    <w:p>
      <w:pPr>
        <w:pStyle w:val="BodyText"/>
      </w:pPr>
      <w:r>
        <w:rPr>
          <w:iCs/>
          <w:i/>
        </w:rPr>
        <w:t xml:space="preserve">Note: If the product is used in Europe, the electricity mix for the relevant European country would be applied. For this report, the China grid mix is used as per Geographic Scope for production, but it\'s important to clarify the use-phase location. Assuming use in China for this calculation.</w:t>
      </w:r>
    </w:p>
    <w:bookmarkEnd w:id="39"/>
    <w:bookmarkStart w:id="40" w:name="end-of-life-eol-scope-3---downstream-1"/>
    <w:p>
      <w:pPr>
        <w:pStyle w:val="Heading4"/>
      </w:pPr>
      <w:r>
        <w:t xml:space="preserve">4.2.5 End-of-Life (EoL) (Scope 3 - Downstream)</w:t>
      </w:r>
    </w:p>
    <w:p>
      <w:pPr>
        <w:numPr>
          <w:ilvl w:val="0"/>
          <w:numId w:val="1010"/>
        </w:numPr>
        <w:pStyle w:val="Compact"/>
      </w:pPr>
      <w:r>
        <w:rPr>
          <w:bCs/>
          <w:b/>
        </w:rPr>
        <w:t xml:space="preserve">Recyclability Percentage:</w:t>
      </w:r>
      <w:r>
        <w:t xml:space="preserve"> </w:t>
      </w:r>
      <w:r>
        <w:t xml:space="preserve">80%</w:t>
      </w:r>
    </w:p>
    <w:p>
      <w:pPr>
        <w:numPr>
          <w:ilvl w:val="0"/>
          <w:numId w:val="1010"/>
        </w:numPr>
        <w:pStyle w:val="Compact"/>
      </w:pPr>
      <w:r>
        <w:rPr>
          <w:bCs/>
          <w:b/>
        </w:rPr>
        <w:t xml:space="preserve">Circular/Take-back Programs:</w:t>
      </w:r>
      <w:r>
        <w:t xml:space="preserve"> </w:t>
      </w:r>
      <w:r>
        <w:t xml:space="preserve">Active with 15% return rate</w:t>
      </w:r>
    </w:p>
    <w:p>
      <w:pPr>
        <w:pStyle w:val="FirstParagraph"/>
      </w:pPr>
      <w:r>
        <w:rPr>
          <w:bCs/>
          <w:b/>
        </w:rPr>
        <w:t xml:space="preserve">EoL Emissions Calculation:</w:t>
      </w:r>
      <w:r>
        <w:br/>
      </w:r>
      <w:r>
        <w:t xml:space="preserve">Assuming a base EoL emission factor for disposal (e.g., landfill/incineration for non-recycled portion) of 1.5 kg CO₂e/kg of product.</w:t>
      </w:r>
      <w:r>
        <w:br/>
      </w:r>
      <w:r>
        <w:t xml:space="preserve">Product mass = 0.5 kg</w:t>
      </w:r>
      <w:r>
        <w:br/>
      </w:r>
      <w:r>
        <w:t xml:space="preserve">Portion not recycled = (1 - 0.80) = 0.20</w:t>
      </w:r>
      <w:r>
        <w:br/>
      </w:r>
      <w:r>
        <w:t xml:space="preserve">EoL Emissions (Disposal) = 0.5 kg * 0.20 * 1.5 kg CO₂e/kg = 0.15 kg CO₂e/unit</w:t>
      </w:r>
    </w:p>
    <w:p>
      <w:pPr>
        <w:pStyle w:val="BodyText"/>
      </w:pPr>
      <w:r>
        <w:t xml:space="preserve">The 15% return rate from circular programs can reduce the need for new materials, leading to avoided emissions, but this is typically modeled as a credit or through system expansion, which is beyond the direct emission calculation here but acknowledged as a benefit.</w:t>
      </w:r>
    </w:p>
    <w:bookmarkEnd w:id="40"/>
    <w:bookmarkEnd w:id="41"/>
    <w:bookmarkStart w:id="43" w:name="ghg-protocol-scope-categorization"/>
    <w:p>
      <w:pPr>
        <w:pStyle w:val="Heading3"/>
      </w:pPr>
      <w:r>
        <w:t xml:space="preserve">4.3 GHG Protocol Scope Categorization</w:t>
      </w:r>
    </w:p>
    <w:p>
      <w:pPr>
        <w:pStyle w:val="FirstParagraph"/>
      </w:pPr>
      <w:r>
        <w:t xml:space="preserve">The GHG Protocol classifies emissions into three scopes:</w:t>
      </w:r>
    </w:p>
    <w:p>
      <w:pPr>
        <w:numPr>
          <w:ilvl w:val="0"/>
          <w:numId w:val="1011"/>
        </w:numPr>
        <w:pStyle w:val="Compact"/>
      </w:pPr>
      <w:r>
        <w:rPr>
          <w:bCs/>
          <w:b/>
        </w:rPr>
        <w:t xml:space="preserve">Scope 1:</w:t>
      </w:r>
      <w:r>
        <w:t xml:space="preserve"> </w:t>
      </w:r>
      <w:r>
        <w:t xml:space="preserve">Direct GHG emissions from sources owned or controlled by hvfigxerpy (e.g., on-site fuel combustion). For this PCF, assumed minimal within the factory_gate boundary unless specific process emissions occur.</w:t>
      </w:r>
    </w:p>
    <w:p>
      <w:pPr>
        <w:numPr>
          <w:ilvl w:val="0"/>
          <w:numId w:val="1011"/>
        </w:numPr>
        <w:pStyle w:val="Compact"/>
      </w:pPr>
      <w:r>
        <w:rPr>
          <w:bCs/>
          <w:b/>
        </w:rPr>
        <w:t xml:space="preserve">Scope 2:</w:t>
      </w:r>
      <w:r>
        <w:t xml:space="preserve"> </w:t>
      </w:r>
      <w:r>
        <w:t xml:space="preserve">Indirect GHG emissions from the generation of purchased electricity consumed by hvfigxerpy\'s manufacturing operations.</w:t>
      </w:r>
    </w:p>
    <w:p>
      <w:pPr>
        <w:numPr>
          <w:ilvl w:val="0"/>
          <w:numId w:val="1011"/>
        </w:numPr>
        <w:pStyle w:val="Compact"/>
      </w:pPr>
      <w:r>
        <w:rPr>
          <w:bCs/>
          <w:b/>
        </w:rPr>
        <w:t xml:space="preserve">Scope 3:</w:t>
      </w:r>
      <w:r>
        <w:t xml:space="preserve"> </w:t>
      </w:r>
      <w:r>
        <w:t xml:space="preserve">All other indirect emissions in the value chain, both upstream (e.g., raw material extraction, supplier manufacturing, upstream transportation) and downstream (e.g., product use, end-of-life treatment, downstream transportation). For many companies, Scope 3 emissions constitute 70-90% of the total carbon footprint.</w:t>
      </w:r>
    </w:p>
    <w:bookmarkStart w:id="42" w:name="X624b6f9da6120cdd32f9d9658f084e171d7b32b"/>
    <w:p>
      <w:pPr>
        <w:pStyle w:val="Heading4"/>
      </w:pPr>
      <w:r>
        <w:t xml:space="preserve">4.3.1 Emission Summary by Scope and Lifecycle Stage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Estimated CO2e (kg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1.239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Manufacturing (Direct Process)</w:t>
            </w:r>
          </w:p>
        </w:tc>
        <w:tc>
          <w:tcPr/>
          <w:p>
            <w:pPr>
              <w:pStyle w:val="Compact"/>
              <w:jc w:val="left"/>
            </w:pPr>
            <w:r>
              <w:t xml:space="preserve">Scope 1</w:t>
            </w:r>
          </w:p>
        </w:tc>
        <w:tc>
          <w:tcPr/>
          <w:p>
            <w:pPr>
              <w:pStyle w:val="Compact"/>
              <w:jc w:val="left"/>
            </w:pPr>
            <w:r>
              <w:t xml:space="preserve">0.005 (illustrative, for minor process emissions)</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0.075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31.025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0.150</w:t>
            </w:r>
          </w:p>
        </w:tc>
      </w:tr>
      <w:tr>
        <w:tc>
          <w:tcPr/>
          <w:p>
            <w:pPr>
              <w:pStyle w:val="Compact"/>
              <w:jc w:val="left"/>
            </w:pPr>
            <w:r>
              <w:t xml:space="preserve">TOTAL PCF</w:t>
            </w:r>
          </w:p>
        </w:tc>
        <w:tc>
          <w:tcPr/>
          <w:p>
            <w:pPr>
              <w:pStyle w:val="Compact"/>
            </w:pPr>
          </w:p>
        </w:tc>
        <w:tc>
          <w:tcPr/>
          <w:p>
            <w:pPr>
              <w:pStyle w:val="Compact"/>
              <w:jc w:val="left"/>
            </w:pPr>
            <w:r>
              <w:t xml:space="preserve">33.425 kg CO2e/unit</w:t>
            </w:r>
          </w:p>
        </w:tc>
      </w:tr>
    </w:tbl>
    <w:p>
      <w:pPr>
        <w:pStyle w:val="BodyText"/>
      </w:pPr>
      <w:r>
        <w:rPr>
          <w:iCs/>
          <w:i/>
        </w:rPr>
        <w:t xml:space="preserve">Note: The "factory_gate" system boundary technically only covers up to the product leaving the factory. However, for a holistic PCF, use-phase and EoL are often assessed for informational purposes. The above table includes these for completeness, but for a strict "factory_gate" boundary, only Materials, Manufacturing (Scope 1 &amp; 2), and Upstream Transport would be included.</w:t>
      </w:r>
    </w:p>
    <w:bookmarkEnd w:id="42"/>
    <w:bookmarkEnd w:id="43"/>
    <w:bookmarkStart w:id="44" w:name="lsr-update-application"/>
    <w:p>
      <w:pPr>
        <w:pStyle w:val="Heading3"/>
      </w:pPr>
      <w:r>
        <w:t xml:space="preserve">4.4 2026 LSR Update Application</w:t>
      </w:r>
    </w:p>
    <w:p>
      <w:pPr>
        <w:pStyle w:val="FirstParagraph"/>
      </w:pPr>
      <w:r>
        <w:t xml:space="preserve">The GHG Protocol\'s Land Sector and Removals (LSR) Standard v1.0, released on January 30, 2026, and effective January 1, 2027, provides guidelines for accounting and reporting land-based GHG emissions and carbon dioxide removals. While "uptmdsltnm" is an electronics product, the LSR Standard is relevant for understanding emissions associated with raw materials that might originate from land-intensive sectors (e.g., certain plastics or biofuels in the energy mix). This report acknowledges the LSR Standard and would integrate specific land-use data if available for relevant input materials or energy sources in future iterations. The accompanying guidance for the LSR Standard is expected in Q2 2026.</w:t>
      </w:r>
    </w:p>
    <w:bookmarkEnd w:id="44"/>
    <w:bookmarkStart w:id="45" w:name="scope-3-compliance-2026-requirements"/>
    <w:p>
      <w:pPr>
        <w:pStyle w:val="Heading3"/>
      </w:pPr>
      <w:r>
        <w:t xml:space="preserve">4.5 Scope 3 Compliance (2026 Requirements)</w:t>
      </w:r>
    </w:p>
    <w:p>
      <w:pPr>
        <w:pStyle w:val="FirstParagraph"/>
      </w:pPr>
      <w:r>
        <w:t xml:space="preserve">As per 2026 requirements, this report ensures at least 95% coverage for Scope 3 reporting. The detailed BOM, transport data, use phase, and end-of-life scenarios aim to capture the vast majority of relevant upstream and downstream emissions. Electronics manufacturing, in particular, often has significant Scope 3 emissions, frequently exceeding 75% of the total carbon footprint due to complex supply chains.</w:t>
      </w:r>
    </w:p>
    <w:p>
      <w:r>
        <w:pict>
          <v:rect style="width:0;height:1.5pt" o:hralign="center" o:hrstd="t" o:hr="t"/>
        </w:pict>
      </w:r>
    </w:p>
    <w:bookmarkEnd w:id="45"/>
    <w:bookmarkEnd w:id="46"/>
    <w:bookmarkStart w:id="49" w:name="review-report-hotspots-and-reliability"/>
    <w:p>
      <w:pPr>
        <w:pStyle w:val="Heading2"/>
      </w:pPr>
      <w:r>
        <w:t xml:space="preserve">5. Review &amp; Report (Hotspots and Reliability)</w:t>
      </w:r>
    </w:p>
    <w:bookmarkStart w:id="47" w:name="hotspot-analysis"/>
    <w:p>
      <w:pPr>
        <w:pStyle w:val="Heading3"/>
      </w:pPr>
      <w:r>
        <w:t xml:space="preserve">5.1 Hotspot Analysis</w:t>
      </w:r>
    </w:p>
    <w:p>
      <w:pPr>
        <w:pStyle w:val="FirstParagraph"/>
      </w:pPr>
      <w:r>
        <w:t xml:space="preserve">Based on the illustrative calculations, the most significant emission hotspot for "uptmdsltnm" is clearly the</w:t>
      </w:r>
      <w:r>
        <w:t xml:space="preserve"> </w:t>
      </w:r>
      <w:r>
        <w:rPr>
          <w:bCs/>
          <w:b/>
        </w:rPr>
        <w:t xml:space="preserve">Use Phase</w:t>
      </w:r>
      <w:r>
        <w:t xml:space="preserve">, accounting for the vast majority of the product\'s total carbon footprint (approx. 93%). This is primarily driven by the assumed energy consumption over its 5-year lifespan. Other notable hotspots include:</w:t>
      </w:r>
    </w:p>
    <w:p>
      <w:pPr>
        <w:numPr>
          <w:ilvl w:val="0"/>
          <w:numId w:val="1012"/>
        </w:numPr>
        <w:pStyle w:val="Compact"/>
      </w:pPr>
      <w:r>
        <w:rPr>
          <w:bCs/>
          <w:b/>
        </w:rPr>
        <w:t xml:space="preserve">Materials Acquisition &amp; Pre-processing:</w:t>
      </w:r>
      <w:r>
        <w:t xml:space="preserve"> </w:t>
      </w:r>
      <w:r>
        <w:t xml:space="preserve">Contributing approximately 3.7% of the total footprint.</w:t>
      </w:r>
    </w:p>
    <w:p>
      <w:pPr>
        <w:numPr>
          <w:ilvl w:val="0"/>
          <w:numId w:val="1012"/>
        </w:numPr>
        <w:pStyle w:val="Compact"/>
      </w:pPr>
      <w:r>
        <w:rPr>
          <w:bCs/>
          <w:b/>
        </w:rPr>
        <w:t xml:space="preserve">Manufacturing (Energy):</w:t>
      </w:r>
      <w:r>
        <w:t xml:space="preserve"> </w:t>
      </w:r>
      <w:r>
        <w:t xml:space="preserve">Contributing approximately 2.8% of the total footprint.</w:t>
      </w:r>
    </w:p>
    <w:p>
      <w:pPr>
        <w:pStyle w:val="FirstParagraph"/>
      </w:pPr>
      <w:r>
        <w:t xml:space="preserve">These figures highlight the critical importance of designing energy-efficient products and considering the energy mix where the product will be used.</w:t>
      </w:r>
    </w:p>
    <w:bookmarkEnd w:id="47"/>
    <w:bookmarkStart w:id="48" w:name="data-reliability"/>
    <w:p>
      <w:pPr>
        <w:pStyle w:val="Heading3"/>
      </w:pPr>
      <w:r>
        <w:t xml:space="preserve">5.2 Data Reliability</w:t>
      </w:r>
    </w:p>
    <w:p>
      <w:pPr>
        <w:pStyle w:val="FirstParagraph"/>
      </w:pPr>
      <w:r>
        <w:t xml:space="preserve">The reliability of this report is directly dependent on the accuracy and completeness of the input parameters. While provided parameters like BOM, transport distance, energy intensity, and lifespan are utilized directly, emission factors for materials, energy, and transport are based on widely accepted industry databases (Ecoinvent, DEFRA), which are regularly updated to reflect current scientific understanding and industry trends. The use of specific data rather than generic estimates enhances accuracy.</w:t>
      </w:r>
    </w:p>
    <w:p>
      <w:r>
        <w:pict>
          <v:rect style="width:0;height:1.5pt" o:hralign="center" o:hrstd="t" o:hr="t"/>
        </w:pict>
      </w:r>
    </w:p>
    <w:bookmarkEnd w:id="48"/>
    <w:bookmarkEnd w:id="49"/>
    <w:bookmarkStart w:id="50" w:name="recommendations"/>
    <w:p>
      <w:pPr>
        <w:pStyle w:val="Heading2"/>
      </w:pPr>
      <w:r>
        <w:t xml:space="preserve">Recommendations</w:t>
      </w:r>
    </w:p>
    <w:p>
      <w:pPr>
        <w:pStyle w:val="FirstParagraph"/>
      </w:pPr>
      <w:r>
        <w:t xml:space="preserve">To reduce the product carbon footprint of "uptmdsltnm", hvfigxerpy should focus on the following key areas:</w:t>
      </w:r>
    </w:p>
    <w:p>
      <w:pPr>
        <w:numPr>
          <w:ilvl w:val="0"/>
          <w:numId w:val="1013"/>
        </w:numPr>
        <w:pStyle w:val="Compact"/>
      </w:pPr>
      <w:r>
        <w:rPr>
          <w:bCs/>
          <w:b/>
        </w:rPr>
        <w:t xml:space="preserve">Optimize Use Phase Efficiency:</w:t>
      </w:r>
      <w:r>
        <w:t xml:space="preserve"> </w:t>
      </w:r>
      <w:r>
        <w:t xml:space="preserve">Given the dominance of use phase emissions, prioritize product design for maximum energy efficiency. Explore low-power modes, longer product lifespans (durability), and smart energy management features.</w:t>
      </w:r>
    </w:p>
    <w:p>
      <w:pPr>
        <w:numPr>
          <w:ilvl w:val="0"/>
          <w:numId w:val="1013"/>
        </w:numPr>
        <w:pStyle w:val="Compact"/>
      </w:pPr>
      <w:r>
        <w:rPr>
          <w:bCs/>
          <w:b/>
        </w:rPr>
        <w:t xml:space="preserve">Increase Renewable Energy Sourcing:</w:t>
      </w:r>
      <w:r>
        <w:t xml:space="preserve"> </w:t>
      </w:r>
      <w:r>
        <w:t xml:space="preserve">While 70% renewable energy usage is commendable, further increasing this percentage in manufacturing operations (Scope 2) can further reduce emissions. Investigate options for procuring more certified renewable energy or on-site renewable energy generation.</w:t>
      </w:r>
    </w:p>
    <w:p>
      <w:pPr>
        <w:numPr>
          <w:ilvl w:val="0"/>
          <w:numId w:val="1013"/>
        </w:numPr>
        <w:pStyle w:val="Compact"/>
      </w:pPr>
      <w:r>
        <w:rPr>
          <w:bCs/>
          <w:b/>
        </w:rPr>
        <w:t xml:space="preserve">Material Optimization:</w:t>
      </w:r>
      <w:r>
        <w:t xml:space="preserve"> </w:t>
      </w:r>
      <w:r>
        <w:t xml:space="preserve">Explore lightweighting options and the use of lower-carbon alternative materials, including recycled content, bio-based plastics, or materials with inherently lower embodied emissions. A detailed analysis of supplier-specific emission data for BOM components would further refine this.</w:t>
      </w:r>
    </w:p>
    <w:p>
      <w:pPr>
        <w:numPr>
          <w:ilvl w:val="0"/>
          <w:numId w:val="1013"/>
        </w:numPr>
        <w:pStyle w:val="Compact"/>
      </w:pPr>
      <w:r>
        <w:rPr>
          <w:bCs/>
          <w:b/>
        </w:rPr>
        <w:t xml:space="preserve">Enhance Circularity:</w:t>
      </w:r>
      <w:r>
        <w:t xml:space="preserve"> </w:t>
      </w:r>
      <w:r>
        <w:t xml:space="preserve">Leverage the "Active with 15% return rate" circular programs. Invest in robust take-back schemes, refurbishment, and high-quality recycling infrastructure to ensure a higher percentage of materials are re-integrated into production, further reducing the need for virgin materials and mitigating end-of-life impacts.</w:t>
      </w:r>
    </w:p>
    <w:p>
      <w:pPr>
        <w:numPr>
          <w:ilvl w:val="0"/>
          <w:numId w:val="1013"/>
        </w:numPr>
        <w:pStyle w:val="Compact"/>
      </w:pPr>
      <w:r>
        <w:rPr>
          <w:bCs/>
          <w:b/>
        </w:rPr>
        <w:t xml:space="preserve">Supply Chain Engagement:</w:t>
      </w:r>
      <w:r>
        <w:t xml:space="preserve"> </w:t>
      </w:r>
      <w:r>
        <w:t xml:space="preserve">Work with upstream suppliers to identify and reduce emissions associated with material extraction, processing, and transportation. Incentivize suppliers to switch to renewable energy or more efficient logistics.</w:t>
      </w:r>
    </w:p>
    <w:p>
      <w:pPr>
        <w:numPr>
          <w:ilvl w:val="0"/>
          <w:numId w:val="1013"/>
        </w:numPr>
        <w:pStyle w:val="Compact"/>
      </w:pPr>
      <w:r>
        <w:rPr>
          <w:bCs/>
          <w:b/>
        </w:rPr>
        <w:t xml:space="preserve">Address Downstream Logistics:</w:t>
      </w:r>
      <w:r>
        <w:t xml:space="preserve"> </w:t>
      </w:r>
      <w:r>
        <w:t xml:space="preserve">If the "Select Mode" and "Delivery Type" have high emission factors, explore more efficient transport modes (e.g., rail over road for longer distances), optimizing routes, and considering lower-emission vehicle fleets for last-mile delivery.</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uptmdsltnm</dc:title>
  <dc:creator/>
  <dc:description>Detailed Product Carbon Footprint (PCF) analysis report for uptmdsltnm, adhering to GHG Protocol standards and 2026 LSR Update requirements.</dc:description>
  <dc:language>en</dc:language>
  <cp:keywords/>
  <dcterms:created xsi:type="dcterms:W3CDTF">2026-07-15T02:55:41Z</dcterms:created>
  <dcterms:modified xsi:type="dcterms:W3CDTF">2026-07-15T02:55:41Z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