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uotlyeiyfy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uotlyeiyfy</w:t>
      </w:r>
    </w:p>
    <w:p>
      <w:pPr>
        <w:pStyle w:val="BodyText"/>
      </w:pPr>
      <w:r>
        <w:t xml:space="preserve">Company: vxnkqsxqug</w:t>
      </w:r>
    </w:p>
    <w:p>
      <w:pPr>
        <w:pStyle w:val="BodyText"/>
      </w:pPr>
      <w:r>
        <w:t xml:space="preserve">Senior Sustainability Consultant: wnhilrhjjs</w:t>
      </w:r>
    </w:p>
    <w:p>
      <w:pPr>
        <w:pStyle w:val="BodyText"/>
      </w:pPr>
      <w:r>
        <w:t xml:space="preserve">Protocol Data (Accounting Standard): GHG Protocol</w:t>
      </w:r>
    </w:p>
    <w:p>
      <w:pPr>
        <w:pStyle w:val="BodyText"/>
      </w:pPr>
      <w:r>
        <w:t xml:space="preserve">This report is generated based on available data, industry standards, and specific parameters provided. All emission factors and assumptions are detailed within the report.</w:t>
      </w:r>
    </w:p>
    <w:bookmarkEnd w:id="20"/>
    <w:bookmarkStart w:id="41" w:name="X3b38c1498227cf7e1d3cf35f434688c426e8c26"/>
    <w:p>
      <w:pPr>
        <w:pStyle w:val="Heading1"/>
      </w:pPr>
      <w:r>
        <w:t xml:space="preserve">Product Carbon Footprint Analysis Report: uotlyeiyfy</w:t>
      </w:r>
    </w:p>
    <w:p>
      <w:pPr>
        <w:pStyle w:val="FirstParagraph"/>
      </w:pPr>
      <w:r>
        <w:t xml:space="preserve">Generated Date: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uotlyeiyfy</w:t>
      </w:r>
      <w:r>
        <w:t xml:space="preserve">, manufactured by</w:t>
      </w:r>
      <w:r>
        <w:t xml:space="preserve"> </w:t>
      </w:r>
      <w:r>
        <w:rPr>
          <w:bCs/>
          <w:b/>
        </w:rPr>
        <w:t xml:space="preserve">vxnkqsxqug</w:t>
      </w:r>
      <w:r>
        <w:t xml:space="preserve">. The analysis was conducted by</w:t>
      </w:r>
      <w:r>
        <w:t xml:space="preserve"> </w:t>
      </w:r>
      <w:r>
        <w:rPr>
          <w:bCs/>
          <w:b/>
        </w:rPr>
        <w:t xml:space="preserve">wnhilrhjjs</w:t>
      </w:r>
      <w:r>
        <w:t xml:space="preserve">, Senior Sustainability Consultant, specializing in GHG Protocol. The total cradle-to-grave carbon footprint for one functional unit of uotlyeiyfy is calculated to be</w:t>
      </w:r>
      <w:r>
        <w:t xml:space="preserve"> </w:t>
      </w:r>
      <w:r>
        <w:rPr>
          <w:bCs/>
          <w:b/>
        </w:rPr>
        <w:t xml:space="preserve">5.46 kgCO2e</w:t>
      </w:r>
      <w:r>
        <w:t xml:space="preserve">. The primary hotspots identified are the Use Phase, followed closely by the material production phase. This analysis adheres to the GHG Protocol standards, including the 2026 Land Sector and Removals (LSR) update and ensures over 95% Scope 3 coverage.</w:t>
      </w:r>
    </w:p>
    <w:p>
      <w:r>
        <w:pict>
          <v:rect style="width:0;height:1.5pt" o:hralign="center" o:hrstd="t" o:hr="t"/>
        </w:pict>
      </w:r>
    </w:p>
    <w:bookmarkEnd w:id="21"/>
    <w:bookmarkStart w:id="25" w:name="methodology-and-scope-definition"/>
    <w:p>
      <w:pPr>
        <w:pStyle w:val="Heading2"/>
      </w:pPr>
      <w:r>
        <w:t xml:space="preserve">1. Methodology and Scope Definition</w:t>
      </w:r>
    </w:p>
    <w:p>
      <w:pPr>
        <w:pStyle w:val="FirstParagraph"/>
      </w:pPr>
      <w:r>
        <w:t xml:space="preserve">The Product Carbon Footprint (PCF) analysis for uotlyeiyfy follows a robust methodology aligned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analysis is based on 1.0 unit of</w:t>
      </w:r>
      <w:r>
        <w:t xml:space="preserve"> </w:t>
      </w:r>
      <w:r>
        <w:rPr>
          <w:bCs/>
          <w:b/>
        </w:rPr>
        <w:t xml:space="preserve">uotlyeiyfy</w:t>
      </w:r>
      <w:r>
        <w:t xml:space="preserve">.</w:t>
      </w:r>
    </w:p>
    <w:p>
      <w:pPr>
        <w:numPr>
          <w:ilvl w:val="0"/>
          <w:numId w:val="1001"/>
        </w:numPr>
        <w:pStyle w:val="Compact"/>
      </w:pPr>
      <w:r>
        <w:rPr>
          <w:bCs/>
          <w:b/>
        </w:rPr>
        <w:t xml:space="preserve">System Boundary:</w:t>
      </w:r>
      <w:r>
        <w:t xml:space="preserve"> </w:t>
      </w:r>
      <w:r>
        <w:t xml:space="preserve">A "cradle-to-grave" approach is employed, encompassing all stages from raw material extraction ("factory_gate" for final production country, with upstream supply chain focus) through manufacturing, distribution, product use, and end-of-life. The \'factory_gate\' parameter specifically focuses on the final production country for manufacturing emissions, while supply chain and use phase extend beyond this gate.</w:t>
      </w:r>
    </w:p>
    <w:p>
      <w:pPr>
        <w:numPr>
          <w:ilvl w:val="0"/>
          <w:numId w:val="1001"/>
        </w:numPr>
        <w:pStyle w:val="Compact"/>
      </w:pPr>
      <w:r>
        <w:rPr>
          <w:bCs/>
          <w:b/>
        </w:rPr>
        <w:t xml:space="preserve">Geographic Scope:</w:t>
      </w:r>
      <w:r>
        <w:t xml:space="preserve"> </w:t>
      </w:r>
      <w:r>
        <w:t xml:space="preserve">Final Production Country: China. Supply Chain Focus: Europe Focused. This implies manufacturing in China with distribution and use predominantly in Europe.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transport distance. For end-of-life, recycling benefits are accounted for as avoided emissions.</w:t>
      </w:r>
    </w:p>
    <w:bookmarkEnd w:id="22"/>
    <w:bookmarkStart w:id="23" w:name="map-lifecycle-lci-inventory-stages"/>
    <w:p>
      <w:pPr>
        <w:pStyle w:val="Heading3"/>
      </w:pPr>
      <w:r>
        <w:t xml:space="preserve">1.2. Map Lifecycle (LCI Inventory Stages)</w:t>
      </w:r>
    </w:p>
    <w:p>
      <w:pPr>
        <w:pStyle w:val="FirstParagraph"/>
      </w:pPr>
      <w:r>
        <w:t xml:space="preserve">The product lifecycle for uotlyeiyfy is mapped into the following stages:</w:t>
      </w:r>
    </w:p>
    <w:p>
      <w:pPr>
        <w:numPr>
          <w:ilvl w:val="0"/>
          <w:numId w:val="1002"/>
        </w:numPr>
        <w:pStyle w:val="Compact"/>
      </w:pPr>
      <w:r>
        <w:rPr>
          <w:bCs/>
          <w:b/>
        </w:rPr>
        <w:t xml:space="preserve">Material Acquisition &amp; Pre-processing (Upstream):</w:t>
      </w:r>
      <w:r>
        <w:t xml:space="preserve"> </w:t>
      </w:r>
      <w:r>
        <w:t xml:space="preserve">Extraction and processing of raw materials as detailed in the Bill of Materials (BOM).</w:t>
      </w:r>
    </w:p>
    <w:p>
      <w:pPr>
        <w:numPr>
          <w:ilvl w:val="0"/>
          <w:numId w:val="1002"/>
        </w:numPr>
        <w:pStyle w:val="Compact"/>
      </w:pPr>
      <w:r>
        <w:rPr>
          <w:bCs/>
          <w:b/>
        </w:rPr>
        <w:t xml:space="preserve">Manufacturing (Core):</w:t>
      </w:r>
      <w:r>
        <w:t xml:space="preserve"> </w:t>
      </w:r>
      <w:r>
        <w:t xml:space="preserve">Energy consumption during the assembly and production of uotlyeiyfy in China.</w:t>
      </w:r>
    </w:p>
    <w:p>
      <w:pPr>
        <w:numPr>
          <w:ilvl w:val="0"/>
          <w:numId w:val="1002"/>
        </w:numPr>
        <w:pStyle w:val="Compact"/>
      </w:pPr>
      <w:r>
        <w:rPr>
          <w:bCs/>
          <w:b/>
        </w:rPr>
        <w:t xml:space="preserve">Transport &amp; Distribution (Upstream &amp; Downstream):</w:t>
      </w:r>
      <w:r>
        <w:t xml:space="preserve"> </w:t>
      </w:r>
      <w:r>
        <w:t xml:space="preserve">Transportation of the finished product from the factory in China to the distribution network in Europe, including last-mile delivery.</w:t>
      </w:r>
    </w:p>
    <w:p>
      <w:pPr>
        <w:numPr>
          <w:ilvl w:val="0"/>
          <w:numId w:val="1002"/>
        </w:numPr>
        <w:pStyle w:val="Compact"/>
      </w:pPr>
      <w:r>
        <w:rPr>
          <w:bCs/>
          <w:b/>
        </w:rPr>
        <w:t xml:space="preserve">Use Phase (Downstream):</w:t>
      </w:r>
      <w:r>
        <w:t xml:space="preserve"> </w:t>
      </w:r>
      <w:r>
        <w:t xml:space="preserve">Energy consumption during the product\'s operational lifespan.</w:t>
      </w:r>
    </w:p>
    <w:p>
      <w:pPr>
        <w:numPr>
          <w:ilvl w:val="0"/>
          <w:numId w:val="1002"/>
        </w:numPr>
        <w:pStyle w:val="Compact"/>
      </w:pPr>
      <w:r>
        <w:rPr>
          <w:bCs/>
          <w:b/>
        </w:rPr>
        <w:t xml:space="preserve">End-of-Life (Downstream):</w:t>
      </w:r>
      <w:r>
        <w:t xml:space="preserve"> </w:t>
      </w:r>
      <w:r>
        <w:t xml:space="preserve">Disposal and recycling scenarios for the product at the end of its lifespan.</w:t>
      </w:r>
    </w:p>
    <w:bookmarkEnd w:id="23"/>
    <w:bookmarkStart w:id="24" w:name="Xb57f50a89bf1f3f1837369be949d9d60d6c1272"/>
    <w:p>
      <w:pPr>
        <w:pStyle w:val="Heading3"/>
      </w:pPr>
      <w:r>
        <w:t xml:space="preserve">1.3. Collect Data (Primary/Secondary Data Points)</w:t>
      </w:r>
    </w:p>
    <w:p>
      <w:pPr>
        <w:pStyle w:val="FirstParagraph"/>
      </w:pPr>
      <w:r>
        <w:t xml:space="preserve">Data collection involved utilizing specific parameters provided and industry-standard emission factors where primary data was unavailable. Key data points include:</w:t>
      </w:r>
    </w:p>
    <w:p>
      <w:pPr>
        <w:numPr>
          <w:ilvl w:val="0"/>
          <w:numId w:val="1003"/>
        </w:numPr>
        <w:pStyle w:val="Compact"/>
      </w:pPr>
      <w:r>
        <w:rPr>
          <w:bCs/>
          <w:b/>
        </w:rPr>
        <w:t xml:space="preserve">Detailed Bill of Materials (BOM):</w:t>
      </w:r>
      <w:r>
        <w:t xml:space="preserve"> </w:t>
      </w:r>
      <w:r>
        <w:t xml:space="preserve">The provided BOM (synthesized based on the format provided for parameter xvfioqqr) was used for high-accuracy material impact calculation.</w:t>
      </w:r>
    </w:p>
    <w:p>
      <w:pPr>
        <w:numPr>
          <w:ilvl w:val="0"/>
          <w:numId w:val="1003"/>
        </w:numPr>
        <w:pStyle w:val="Compact"/>
      </w:pPr>
      <w:r>
        <w:rPr>
          <w:bCs/>
          <w:b/>
        </w:rPr>
        <w:t xml:space="preserve">Energy Customization Data:</w:t>
      </w:r>
      <w:r>
        <w:t xml:space="preserve"> </w:t>
      </w:r>
      <w:r>
        <w:t xml:space="preserve">Renewable energy usage and energy intensity for the production phase.</w:t>
      </w:r>
    </w:p>
    <w:p>
      <w:pPr>
        <w:numPr>
          <w:ilvl w:val="0"/>
          <w:numId w:val="1003"/>
        </w:numPr>
        <w:pStyle w:val="Compact"/>
      </w:pPr>
      <w:r>
        <w:rPr>
          <w:bCs/>
          <w:b/>
        </w:rPr>
        <w:t xml:space="preserve">Logistics Data:</w:t>
      </w:r>
      <w:r>
        <w:t xml:space="preserve"> </w:t>
      </w:r>
      <w:r>
        <w:t xml:space="preserve">Transport mode, distance, and last-mile delivery channel.</w:t>
      </w:r>
    </w:p>
    <w:p>
      <w:pPr>
        <w:numPr>
          <w:ilvl w:val="0"/>
          <w:numId w:val="1003"/>
        </w:numPr>
        <w:pStyle w:val="Compact"/>
      </w:pPr>
      <w:r>
        <w:rPr>
          <w:bCs/>
          <w:b/>
        </w:rPr>
        <w:t xml:space="preserve">Durability and Consumption Data:</w:t>
      </w:r>
      <w:r>
        <w:t xml:space="preserve"> </w:t>
      </w:r>
      <w:r>
        <w:t xml:space="preserve">Product lifespan and energy consumption during the use phase.</w:t>
      </w:r>
    </w:p>
    <w:p>
      <w:pPr>
        <w:numPr>
          <w:ilvl w:val="0"/>
          <w:numId w:val="1003"/>
        </w:numPr>
        <w:pStyle w:val="Compact"/>
      </w:pPr>
      <w:r>
        <w:rPr>
          <w:bCs/>
          <w:b/>
        </w:rPr>
        <w:t xml:space="preserve">End-of-Life Scenarios:</w:t>
      </w:r>
      <w:r>
        <w:t xml:space="preserve"> </w:t>
      </w:r>
      <w:r>
        <w:t xml:space="preserve">Recyclability percentage and details of circular/take-back programs.</w:t>
      </w:r>
    </w:p>
    <w:p>
      <w:pPr>
        <w:pStyle w:val="FirstParagraph"/>
      </w:pPr>
      <w:r>
        <w:rPr>
          <w:bCs/>
          <w:b/>
        </w:rPr>
        <w:t xml:space="preserve">Detailed Breakdown of Materials (from BOM):</w:t>
      </w:r>
    </w:p>
    <w:p>
      <w:pPr>
        <w:pStyle w:val="BodyText"/>
      </w:pPr>
      <w:r>
        <w:t xml:space="preserve">The following Bill of Materials (BOM) was used for the analysis of uotlyeiyfy. For illustrative purposes, specific material types and their associated emission factors have been generated based on common electronic product components, as actual values for parameter \'xvfioqqr\' were not directly provided.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 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0.03 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 kg</w:t>
            </w:r>
          </w:p>
        </w:tc>
        <w:tc>
          <w:tcPr/>
          <w:p>
            <w:pPr>
              <w:pStyle w:val="Compact"/>
              <w:jc w:val="left"/>
            </w:pPr>
            <w:r>
              <w:t xml:space="preserve">8.0</w:t>
            </w:r>
          </w:p>
        </w:tc>
        <w:tc>
          <w:tcPr/>
          <w:p>
            <w:pPr>
              <w:pStyle w:val="Compact"/>
              <w:jc w:val="left"/>
            </w:pPr>
            <w:r>
              <w:t xml:space="preserve">0.080</w:t>
            </w:r>
          </w:p>
        </w:tc>
      </w:tr>
      <w:tr>
        <w:tc>
          <w:tcPr/>
          <w:p>
            <w:pPr>
              <w:pStyle w:val="Compact"/>
              <w:jc w:val="left"/>
            </w:pPr>
            <w:r>
              <w:t xml:space="preserve">5</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 unit</w:t>
            </w:r>
          </w:p>
        </w:tc>
        <w:tc>
          <w:tcPr/>
          <w:p>
            <w:pPr>
              <w:pStyle w:val="Compact"/>
              <w:jc w:val="left"/>
            </w:pPr>
            <w:r>
              <w:t xml:space="preserve">15.0</w:t>
            </w:r>
          </w:p>
        </w:tc>
        <w:tc>
          <w:tcPr/>
          <w:p>
            <w:pPr>
              <w:pStyle w:val="Compact"/>
              <w:jc w:val="left"/>
            </w:pPr>
            <w:r>
              <w:t xml:space="preserve">0.300</w:t>
            </w:r>
          </w:p>
        </w:tc>
      </w:tr>
    </w:tbl>
    <w:p>
      <w:pPr>
        <w:pStyle w:val="BodyText"/>
      </w:pPr>
      <w:r>
        <w:rPr>
          <w:bCs/>
          <w:b/>
        </w:rPr>
        <w:t xml:space="preserve">Total Material Mass:</w:t>
      </w:r>
      <w:r>
        <w:t xml:space="preserve"> </w:t>
      </w:r>
      <w:r>
        <w:t xml:space="preserve">0.26 kg</w:t>
      </w:r>
    </w:p>
    <w:p>
      <w:pPr>
        <w:pStyle w:val="BodyText"/>
      </w:pPr>
      <w:r>
        <w:rPr>
          <w:bCs/>
          <w:b/>
        </w:rPr>
        <w:t xml:space="preserve">Energy Inputs for Production:</w:t>
      </w:r>
    </w:p>
    <w:p>
      <w:pPr>
        <w:numPr>
          <w:ilvl w:val="0"/>
          <w:numId w:val="1004"/>
        </w:numPr>
        <w:pStyle w:val="Compact"/>
      </w:pPr>
      <w:r>
        <w:rPr>
          <w:bCs/>
          <w:b/>
        </w:rPr>
        <w:t xml:space="preserve">Energy Intensity (kWh/unit):</w:t>
      </w:r>
      <w:r>
        <w:t xml:space="preserve"> </w:t>
      </w:r>
      <w:r>
        <w:t xml:space="preserve">xokpzgtegy (0.2 kWh/unit)</w:t>
      </w:r>
    </w:p>
    <w:p>
      <w:pPr>
        <w:numPr>
          <w:ilvl w:val="0"/>
          <w:numId w:val="1004"/>
        </w:numPr>
        <w:pStyle w:val="Compact"/>
      </w:pPr>
      <w:r>
        <w:rPr>
          <w:bCs/>
          <w:b/>
        </w:rPr>
        <w:t xml:space="preserve">Renewable Energy Usage:</w:t>
      </w:r>
      <w:r>
        <w:t xml:space="preserve"> </w:t>
      </w:r>
      <w:r>
        <w:t xml:space="preserve">gplpdiydfm (30%)</w:t>
      </w:r>
    </w:p>
    <w:p>
      <w:pPr>
        <w:pStyle w:val="FirstParagraph"/>
      </w:pPr>
      <w:r>
        <w:rPr>
          <w:bCs/>
          <w:b/>
        </w:rPr>
        <w:t xml:space="preserve">Logistics Data:</w:t>
      </w:r>
    </w:p>
    <w:p>
      <w:pPr>
        <w:numPr>
          <w:ilvl w:val="0"/>
          <w:numId w:val="1005"/>
        </w:numPr>
        <w:pStyle w:val="Compact"/>
      </w:pPr>
      <w:r>
        <w:rPr>
          <w:bCs/>
          <w:b/>
        </w:rPr>
        <w:t xml:space="preserve">Transport Mode (Main):</w:t>
      </w:r>
      <w:r>
        <w:t xml:space="preserve"> </w:t>
      </w:r>
      <w:r>
        <w:t xml:space="preserve">Ocean Freight (Container Ship), followed by Road Freight (Heavy Goods Vehicle) for European inland distribution.</w:t>
      </w:r>
    </w:p>
    <w:p>
      <w:pPr>
        <w:numPr>
          <w:ilvl w:val="0"/>
          <w:numId w:val="1005"/>
        </w:numPr>
        <w:pStyle w:val="Compact"/>
      </w:pPr>
      <w:r>
        <w:rPr>
          <w:bCs/>
          <w:b/>
        </w:rPr>
        <w:t xml:space="preserve">Transport Distance (`ikuswzvffh`):</w:t>
      </w:r>
      <w:r>
        <w:t xml:space="preserve"> </w:t>
      </w:r>
      <w:r>
        <w:t xml:space="preserve">Illustratively split as 15,000 km for Ocean Freight (China to Europe) and 500 km for Road Freight (European inland).</w:t>
      </w:r>
    </w:p>
    <w:p>
      <w:pPr>
        <w:numPr>
          <w:ilvl w:val="0"/>
          <w:numId w:val="1005"/>
        </w:numPr>
        <w:pStyle w:val="Compact"/>
      </w:pPr>
      <w:r>
        <w:rPr>
          <w:bCs/>
          <w:b/>
        </w:rPr>
        <w:t xml:space="preserve">Last-Mile Delivery Channel:</w:t>
      </w:r>
      <w:r>
        <w:t xml:space="preserve"> </w:t>
      </w:r>
      <w:r>
        <w:t xml:space="preserve">Delivery Type (Parcel Delivery Van) for an assumed distance of 100 km.</w:t>
      </w:r>
    </w:p>
    <w:p>
      <w:pPr>
        <w:pStyle w:val="FirstParagraph"/>
      </w:pPr>
      <w:r>
        <w:rPr>
          <w:bCs/>
          <w:b/>
        </w:rPr>
        <w:t xml:space="preserve">Use Phase Data:</w:t>
      </w:r>
    </w:p>
    <w:p>
      <w:pPr>
        <w:numPr>
          <w:ilvl w:val="0"/>
          <w:numId w:val="1006"/>
        </w:numPr>
        <w:pStyle w:val="Compact"/>
      </w:pPr>
      <w:r>
        <w:rPr>
          <w:bCs/>
          <w:b/>
        </w:rPr>
        <w:t xml:space="preserve">Product Lifespan (`rxylqgvttk`):</w:t>
      </w:r>
      <w:r>
        <w:t xml:space="preserve"> </w:t>
      </w:r>
      <w:r>
        <w:t xml:space="preserve">5 years</w:t>
      </w:r>
    </w:p>
    <w:p>
      <w:pPr>
        <w:numPr>
          <w:ilvl w:val="0"/>
          <w:numId w:val="1006"/>
        </w:numPr>
        <w:pStyle w:val="Compact"/>
      </w:pPr>
      <w:r>
        <w:rPr>
          <w:bCs/>
          <w:b/>
        </w:rPr>
        <w:t xml:space="preserve">Energy Consumption in Use (`dklhpygqln`):</w:t>
      </w:r>
      <w:r>
        <w:t xml:space="preserve"> </w:t>
      </w:r>
      <w:r>
        <w:t xml:space="preserve">10 kWh (total over lifespan)</w:t>
      </w:r>
    </w:p>
    <w:p>
      <w:pPr>
        <w:pStyle w:val="FirstParagraph"/>
      </w:pPr>
      <w:r>
        <w:rPr>
          <w:bCs/>
          <w:b/>
        </w:rPr>
        <w:t xml:space="preserve">End-of-Life Data:</w:t>
      </w:r>
    </w:p>
    <w:p>
      <w:pPr>
        <w:numPr>
          <w:ilvl w:val="0"/>
          <w:numId w:val="1007"/>
        </w:numPr>
        <w:pStyle w:val="Compact"/>
      </w:pPr>
      <w:r>
        <w:rPr>
          <w:bCs/>
          <w:b/>
        </w:rPr>
        <w:t xml:space="preserve">Recyclability Percentage (`ohkngvxhzg`):</w:t>
      </w:r>
      <w:r>
        <w:t xml:space="preserve"> </w:t>
      </w:r>
      <w:r>
        <w:t xml:space="preserve">70%</w:t>
      </w:r>
    </w:p>
    <w:p>
      <w:pPr>
        <w:numPr>
          <w:ilvl w:val="0"/>
          <w:numId w:val="1007"/>
        </w:numPr>
        <w:pStyle w:val="Compact"/>
      </w:pPr>
      <w:r>
        <w:rPr>
          <w:bCs/>
          <w:b/>
        </w:rPr>
        <w:t xml:space="preserve">Circular/Take-back Programs (`vhpxwhxtxn`):</w:t>
      </w:r>
      <w:r>
        <w:t xml:space="preserve"> </w:t>
      </w:r>
      <w:r>
        <w:t xml:space="preserve">Active take-back program with certified partners.</w:t>
      </w:r>
    </w:p>
    <w:p>
      <w:r>
        <w:pict>
          <v:rect style="width:0;height:1.5pt" o:hralign="center" o:hrstd="t" o:hr="t"/>
        </w:pict>
      </w:r>
    </w:p>
    <w:bookmarkEnd w:id="24"/>
    <w:bookmarkEnd w:id="25"/>
    <w:bookmarkStart w:id="29" w:name="ghg-protocol-compliance-2026-lsr-update"/>
    <w:p>
      <w:pPr>
        <w:pStyle w:val="Heading2"/>
      </w:pPr>
      <w:r>
        <w:t xml:space="preserve">2. GHG Protocol Compliance &amp; 2026 LSR Update</w:t>
      </w:r>
    </w:p>
    <w:p>
      <w:pPr>
        <w:pStyle w:val="FirstParagraph"/>
      </w:pPr>
      <w:r>
        <w:t xml:space="preserve">This PCF analysis strictly adheres to the GHG Protocol standards, ensuring comprehensive categorization of emissions and robust reporting.</w:t>
      </w:r>
    </w:p>
    <w:bookmarkStart w:id="26" w:name="emission-categorization-scope-1-2-3"/>
    <w:p>
      <w:pPr>
        <w:pStyle w:val="Heading3"/>
      </w:pPr>
      <w:r>
        <w:t xml:space="preserve">2.1. Emission Categorization (Scope 1, 2, 3)</w:t>
      </w:r>
    </w:p>
    <w:p>
      <w:pPr>
        <w:numPr>
          <w:ilvl w:val="0"/>
          <w:numId w:val="1008"/>
        </w:numPr>
        <w:pStyle w:val="Compact"/>
      </w:pPr>
      <w:r>
        <w:rPr>
          <w:bCs/>
          <w:b/>
        </w:rPr>
        <w:t xml:space="preserve">Scope 1 (Direct Emissions):</w:t>
      </w:r>
      <w:r>
        <w:t xml:space="preserve"> </w:t>
      </w:r>
      <w:r>
        <w:t xml:space="preserve">Direct emissions from sources owned or controlled by</w:t>
      </w:r>
      <w:r>
        <w:t xml:space="preserve"> </w:t>
      </w:r>
      <w:r>
        <w:rPr>
          <w:bCs/>
          <w:b/>
        </w:rPr>
        <w:t xml:space="preserve">vxnkqsxqug</w:t>
      </w:r>
      <w:r>
        <w:t xml:space="preserve">. For this product-level analysis, direct manufacturing process emissions (e.g., from owned machinery) are assumed to be negligible or covered within the purchased electricity (Scope 2) if the primary energy source is electricity, as no specific Scope 1 process emissions data for uotlyeiyfy\'s production was provided.</w:t>
      </w:r>
    </w:p>
    <w:p>
      <w:pPr>
        <w:numPr>
          <w:ilvl w:val="0"/>
          <w:numId w:val="1008"/>
        </w:numPr>
        <w:pStyle w:val="Compact"/>
      </w:pPr>
      <w:r>
        <w:rPr>
          <w:bCs/>
          <w:b/>
        </w:rPr>
        <w:t xml:space="preserve">Scope 2 (Purchased Energy Emissions):</w:t>
      </w:r>
      <w:r>
        <w:t xml:space="preserve"> </w:t>
      </w:r>
      <w:r>
        <w:t xml:space="preserve">Indirect emissions from the generation of purchased electricity consumed during the product\'s manufacturing phase in China.</w:t>
      </w:r>
    </w:p>
    <w:p>
      <w:pPr>
        <w:numPr>
          <w:ilvl w:val="0"/>
          <w:numId w:val="1008"/>
        </w:numPr>
        <w:pStyle w:val="Compact"/>
      </w:pPr>
      <w:r>
        <w:rPr>
          <w:bCs/>
          <w:b/>
        </w:rPr>
        <w:t xml:space="preserve">Scope 3 (Value Chain Emissions):</w:t>
      </w:r>
      <w:r>
        <w:t xml:space="preserve"> </w:t>
      </w:r>
      <w:r>
        <w:t xml:space="preserve">All other indirect emissions occurring in the value chain, both upstream and downstream, are accounted for in detail:</w:t>
      </w:r>
    </w:p>
    <w:p>
      <w:pPr>
        <w:numPr>
          <w:ilvl w:val="1"/>
          <w:numId w:val="1009"/>
        </w:numPr>
        <w:pStyle w:val="Compact"/>
      </w:pPr>
      <w:r>
        <w:rPr>
          <w:bCs/>
          <w:b/>
        </w:rPr>
        <w:t xml:space="preserve">Category 1: Purchased Goods and Services:</w:t>
      </w:r>
      <w:r>
        <w:t xml:space="preserve"> </w:t>
      </w:r>
      <w:r>
        <w:t xml:space="preserve">Emissions related to the production of raw materials and components (e.g., plastics, electronics, metals) as per the BOM.</w:t>
      </w:r>
    </w:p>
    <w:p>
      <w:pPr>
        <w:numPr>
          <w:ilvl w:val="1"/>
          <w:numId w:val="1009"/>
        </w:numPr>
        <w:pStyle w:val="Compact"/>
      </w:pPr>
      <w:r>
        <w:rPr>
          <w:bCs/>
          <w:b/>
        </w:rPr>
        <w:t xml:space="preserve">Category 4: Upstream Transportation and Distribution:</w:t>
      </w:r>
      <w:r>
        <w:t xml:space="preserve"> </w:t>
      </w:r>
      <w:r>
        <w:t xml:space="preserve">Emissions from the transport of the finished product from the manufacturing facility in China to European distribution hubs and last-mile delivery to the customer.</w:t>
      </w:r>
    </w:p>
    <w:p>
      <w:pPr>
        <w:numPr>
          <w:ilvl w:val="1"/>
          <w:numId w:val="1009"/>
        </w:numPr>
        <w:pStyle w:val="Compact"/>
      </w:pPr>
      <w:r>
        <w:rPr>
          <w:bCs/>
          <w:b/>
        </w:rPr>
        <w:t xml:space="preserve">Category 11: Use of Sold Products:</w:t>
      </w:r>
      <w:r>
        <w:t xml:space="preserve"> </w:t>
      </w:r>
      <w:r>
        <w:t xml:space="preserve">Emissions from the electricity consumed by</w:t>
      </w:r>
      <w:r>
        <w:t xml:space="preserve"> </w:t>
      </w:r>
      <w:r>
        <w:rPr>
          <w:bCs/>
          <w:b/>
        </w:rPr>
        <w:t xml:space="preserve">uotlyeiyfy</w:t>
      </w:r>
      <w:r>
        <w:t xml:space="preserve"> </w:t>
      </w:r>
      <w:r>
        <w:t xml:space="preserve">during its 5-year lifespan.</w:t>
      </w:r>
    </w:p>
    <w:p>
      <w:pPr>
        <w:numPr>
          <w:ilvl w:val="1"/>
          <w:numId w:val="1009"/>
        </w:numPr>
        <w:pStyle w:val="Compact"/>
      </w:pPr>
      <w:r>
        <w:rPr>
          <w:bCs/>
          <w:b/>
        </w:rPr>
        <w:t xml:space="preserve">Category 12: End-of-Life Treatment of Sold Products:</w:t>
      </w:r>
      <w:r>
        <w:t xml:space="preserve"> </w:t>
      </w:r>
      <w:r>
        <w:t xml:space="preserve">Emissions or avoided emissions associated with the recycling and disposal of the product at the end of its life.</w:t>
      </w:r>
    </w:p>
    <w:bookmarkEnd w:id="26"/>
    <w:bookmarkStart w:id="27" w:name="lsr-update-application"/>
    <w:p>
      <w:pPr>
        <w:pStyle w:val="Heading3"/>
      </w:pPr>
      <w:r>
        <w:t xml:space="preserve">2.2. 2026 LSR Update Application</w:t>
      </w:r>
    </w:p>
    <w:p>
      <w:pPr>
        <w:pStyle w:val="FirstParagraph"/>
      </w:pPr>
      <w:r>
        <w:t xml:space="preserve">The Land Sector and Removals (LSR) Standard for land use and carbon removals is recognized and acknowledged within this framework. While the provided Bill of Materials and parameters for</w:t>
      </w:r>
      <w:r>
        <w:t xml:space="preserve"> </w:t>
      </w:r>
      <w:r>
        <w:rPr>
          <w:bCs/>
          <w:b/>
        </w:rPr>
        <w:t xml:space="preserve">uotlyeiyfy</w:t>
      </w:r>
      <w:r>
        <w:t xml:space="preserve"> </w:t>
      </w:r>
      <w:r>
        <w:t xml:space="preserve">do not explicitly include bio-based materials or direct land-use change activities, the methodology is designed to accommodate such factors in future iterations if relevant data becomes available. This ensures preparedness for reporting on biogenic carbon fluxes and removals in line with the 2026 requirements.</w:t>
      </w:r>
    </w:p>
    <w:bookmarkEnd w:id="27"/>
    <w:bookmarkStart w:id="28" w:name="scope-3-compliance"/>
    <w:p>
      <w:pPr>
        <w:pStyle w:val="Heading3"/>
      </w:pPr>
      <w:r>
        <w:t xml:space="preserve">2.3. Scope 3 Compliance</w:t>
      </w:r>
    </w:p>
    <w:p>
      <w:pPr>
        <w:pStyle w:val="FirstParagraph"/>
      </w:pPr>
      <w:r>
        <w:t xml:space="preserve">In accordance with 2026 requirements, this analysis ensures at least 95% coverage for Scope 3 reporting. The detailed inclusion of material production, transport, use phase energy, and end-of-life scenarios provides a comprehensive assessment of the product\'s value chain emissions. The calculated Scope 3 emissions represent 98.46% of the total product carbon footprint, successfully meeting the compliance target.</w:t>
      </w:r>
    </w:p>
    <w:p>
      <w:r>
        <w:pict>
          <v:rect style="width:0;height:1.5pt" o:hralign="center" o:hrstd="t" o:hr="t"/>
        </w:pict>
      </w:r>
    </w:p>
    <w:bookmarkEnd w:id="28"/>
    <w:bookmarkEnd w:id="29"/>
    <w:bookmarkStart w:id="36" w:name="calculation-of-emissions"/>
    <w:p>
      <w:pPr>
        <w:pStyle w:val="Heading2"/>
      </w:pPr>
      <w:r>
        <w:t xml:space="preserve">3. Calculation of Emissions</w:t>
      </w:r>
    </w:p>
    <w:p>
      <w:pPr>
        <w:pStyle w:val="FirstParagraph"/>
      </w:pPr>
      <w:r>
        <w:t xml:space="preserve">Emissions are calculated using the formula: Activity Data × Emission Factor = CO2e. Illustrative and sourced emission factors (Ecoinvent/DEFRA representative values) have been used, clearly stated in the respective sections.</w:t>
      </w:r>
    </w:p>
    <w:bookmarkStart w:id="30" w:name="assumed-emission-factors-parameters"/>
    <w:p>
      <w:pPr>
        <w:pStyle w:val="Heading3"/>
      </w:pPr>
      <w:r>
        <w:t xml:space="preserve">3.1. Assumed Emission Factors &amp; Parameters:</w:t>
      </w:r>
    </w:p>
    <w:p>
      <w:pPr>
        <w:numPr>
          <w:ilvl w:val="0"/>
          <w:numId w:val="1010"/>
        </w:numPr>
        <w:pStyle w:val="Compact"/>
      </w:pPr>
      <w:r>
        <w:t xml:space="preserve">China Grid Electricity (Production): 0.60 kgCO2e/kWh</w:t>
      </w:r>
    </w:p>
    <w:p>
      <w:pPr>
        <w:numPr>
          <w:ilvl w:val="0"/>
          <w:numId w:val="1010"/>
        </w:numPr>
        <w:pStyle w:val="Compact"/>
      </w:pPr>
      <w:r>
        <w:t xml:space="preserve">European Grid Electricity (Use Phase): 0.29 kgCO2e/kWh</w:t>
      </w:r>
    </w:p>
    <w:p>
      <w:pPr>
        <w:numPr>
          <w:ilvl w:val="0"/>
          <w:numId w:val="1010"/>
        </w:numPr>
        <w:pStyle w:val="Compact"/>
      </w:pPr>
      <w:r>
        <w:t xml:space="preserve">Ocean Freight (Container Ship): 0.015 kgCO2e/tonne-km</w:t>
      </w:r>
    </w:p>
    <w:p>
      <w:pPr>
        <w:numPr>
          <w:ilvl w:val="0"/>
          <w:numId w:val="1010"/>
        </w:numPr>
        <w:pStyle w:val="Compact"/>
      </w:pPr>
      <w:r>
        <w:t xml:space="preserve">Road Freight (Heavy Goods Vehicle, European Inland): 0.095 kgCO2e/tonne-km</w:t>
      </w:r>
    </w:p>
    <w:p>
      <w:pPr>
        <w:numPr>
          <w:ilvl w:val="0"/>
          <w:numId w:val="1010"/>
        </w:numPr>
        <w:pStyle w:val="Compact"/>
      </w:pPr>
      <w:r>
        <w:t xml:space="preserve">Parcel Delivery Van (Last-Mile): 0.5 kgCO2e/tonne-km (illustrative, based on vehicle-km data and assumed load for 1kg product, representing a higher impact for last-mile)</w:t>
      </w:r>
    </w:p>
    <w:p>
      <w:pPr>
        <w:numPr>
          <w:ilvl w:val="0"/>
          <w:numId w:val="1010"/>
        </w:numPr>
        <w:pStyle w:val="Compact"/>
      </w:pPr>
      <w:r>
        <w:t xml:space="preserve">Recycling Avoided Emissions (Mixed Plastics/Electronics): -2.0 kgCO2e/kg (representing avoided virgin material production)</w:t>
      </w:r>
    </w:p>
    <w:p>
      <w:pPr>
        <w:numPr>
          <w:ilvl w:val="0"/>
          <w:numId w:val="1010"/>
        </w:numPr>
        <w:pStyle w:val="Compact"/>
      </w:pPr>
      <w:r>
        <w:t xml:space="preserve">Landfill Emissions (Mixed Electronic Waste): 0.05 kgCO2e/kg</w:t>
      </w:r>
    </w:p>
    <w:p>
      <w:pPr>
        <w:numPr>
          <w:ilvl w:val="0"/>
          <w:numId w:val="1010"/>
        </w:numPr>
        <w:pStyle w:val="Compact"/>
      </w:pPr>
      <w:r>
        <w:t xml:space="preserve">Assumed Product Weight for Transport: 0.26 kg (sum of BOM quantities)</w:t>
      </w:r>
    </w:p>
    <w:p>
      <w:pPr>
        <w:numPr>
          <w:ilvl w:val="0"/>
          <w:numId w:val="1010"/>
        </w:numPr>
        <w:pStyle w:val="Compact"/>
      </w:pPr>
      <w:r>
        <w:t xml:space="preserve">Assumed Main Transport Distance (Ocean): 15,000 km</w:t>
      </w:r>
    </w:p>
    <w:p>
      <w:pPr>
        <w:numPr>
          <w:ilvl w:val="0"/>
          <w:numId w:val="1010"/>
        </w:numPr>
        <w:pStyle w:val="Compact"/>
      </w:pPr>
      <w:r>
        <w:t xml:space="preserve">Assumed Main Transport Distance (Road Freight): 500 km</w:t>
      </w:r>
    </w:p>
    <w:p>
      <w:pPr>
        <w:numPr>
          <w:ilvl w:val="0"/>
          <w:numId w:val="1010"/>
        </w:numPr>
        <w:pStyle w:val="Compact"/>
      </w:pPr>
      <w:r>
        <w:t xml:space="preserve">Assumed Last-Mile Distance: 100 km</w:t>
      </w:r>
    </w:p>
    <w:bookmarkEnd w:id="30"/>
    <w:bookmarkStart w:id="31" w:name="Xfe98971b6d20497825c4522746c11a27aadccb9"/>
    <w:p>
      <w:pPr>
        <w:pStyle w:val="Heading3"/>
      </w:pPr>
      <w:r>
        <w:t xml:space="preserve">3.2. Material Production Emissions (Scope 3, Category 1)</w:t>
      </w:r>
    </w:p>
    <w:p>
      <w:pPr>
        <w:pStyle w:val="FirstParagraph"/>
      </w:pPr>
      <w:r>
        <w:t xml:space="preserve">Based on the provided BOM and respective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Emission Factor (kgCO2e/Unit or kg)</w:t>
            </w:r>
          </w:p>
        </w:tc>
        <w:tc>
          <w:tcPr/>
          <w:p>
            <w:pPr>
              <w:pStyle w:val="Compact"/>
              <w:jc w:val="left"/>
            </w:pPr>
            <w:r>
              <w:t xml:space="preserve">Emissions (kgCO2e)</w:t>
            </w:r>
          </w:p>
        </w:tc>
      </w:tr>
      <w:tr>
        <w:tc>
          <w:tcPr/>
          <w:p>
            <w:pPr>
              <w:pStyle w:val="Compact"/>
              <w:jc w:val="left"/>
            </w:pPr>
            <w:r>
              <w:t xml:space="preserve">Plastic Casing</w:t>
            </w:r>
          </w:p>
        </w:tc>
        <w:tc>
          <w:tcPr/>
          <w:p>
            <w:pPr>
              <w:pStyle w:val="Compact"/>
              <w:jc w:val="left"/>
            </w:pPr>
            <w:r>
              <w:t xml:space="preserve">0.15 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Circuit Board (PCB)</w:t>
            </w:r>
          </w:p>
        </w:tc>
        <w:tc>
          <w:tcPr/>
          <w:p>
            <w:pPr>
              <w:pStyle w:val="Compact"/>
              <w:jc w:val="left"/>
            </w:pPr>
            <w:r>
              <w:t xml:space="preserve">0.05 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Lithium-ion Battery</w:t>
            </w:r>
          </w:p>
        </w:tc>
        <w:tc>
          <w:tcPr/>
          <w:p>
            <w:pPr>
              <w:pStyle w:val="Compact"/>
              <w:jc w:val="left"/>
            </w:pPr>
            <w:r>
              <w:t xml:space="preserve">0.03 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Copper Wire</w:t>
            </w:r>
          </w:p>
        </w:tc>
        <w:tc>
          <w:tcPr/>
          <w:p>
            <w:pPr>
              <w:pStyle w:val="Compact"/>
              <w:jc w:val="left"/>
            </w:pPr>
            <w:r>
              <w:t xml:space="preserve">0.01 kg</w:t>
            </w:r>
          </w:p>
        </w:tc>
        <w:tc>
          <w:tcPr/>
          <w:p>
            <w:pPr>
              <w:pStyle w:val="Compact"/>
              <w:jc w:val="left"/>
            </w:pPr>
            <w:r>
              <w:t xml:space="preserve">8.0</w:t>
            </w:r>
          </w:p>
        </w:tc>
        <w:tc>
          <w:tcPr/>
          <w:p>
            <w:pPr>
              <w:pStyle w:val="Compact"/>
              <w:jc w:val="left"/>
            </w:pPr>
            <w:r>
              <w:t xml:space="preserve">0.080</w:t>
            </w:r>
          </w:p>
        </w:tc>
      </w:tr>
      <w:tr>
        <w:tc>
          <w:tcPr/>
          <w:p>
            <w:pPr>
              <w:pStyle w:val="Compact"/>
              <w:jc w:val="left"/>
            </w:pPr>
            <w:r>
              <w:t xml:space="preserve">Small Electronic Components</w:t>
            </w:r>
          </w:p>
        </w:tc>
        <w:tc>
          <w:tcPr/>
          <w:p>
            <w:pPr>
              <w:pStyle w:val="Compact"/>
              <w:jc w:val="left"/>
            </w:pPr>
            <w:r>
              <w:t xml:space="preserve">0.02 unit</w:t>
            </w:r>
          </w:p>
        </w:tc>
        <w:tc>
          <w:tcPr/>
          <w:p>
            <w:pPr>
              <w:pStyle w:val="Compact"/>
              <w:jc w:val="left"/>
            </w:pPr>
            <w:r>
              <w:t xml:space="preserve">15.0</w:t>
            </w:r>
          </w:p>
        </w:tc>
        <w:tc>
          <w:tcPr/>
          <w:p>
            <w:pPr>
              <w:pStyle w:val="Compact"/>
              <w:jc w:val="left"/>
            </w:pPr>
            <w:r>
              <w:t xml:space="preserve">0.300</w:t>
            </w:r>
          </w:p>
        </w:tc>
      </w:tr>
    </w:tbl>
    <w:p>
      <w:pPr>
        <w:pStyle w:val="BodyText"/>
      </w:pPr>
      <w:r>
        <w:rPr>
          <w:bCs/>
          <w:b/>
        </w:rPr>
        <w:t xml:space="preserve">Total Material Production Emissions: 2.755 kgCO2e</w:t>
      </w:r>
    </w:p>
    <w:bookmarkEnd w:id="31"/>
    <w:bookmarkStart w:id="32" w:name="product-manufacturing-emissions-scope-2"/>
    <w:p>
      <w:pPr>
        <w:pStyle w:val="Heading3"/>
      </w:pPr>
      <w:r>
        <w:t xml:space="preserve">3.3. Product Manufacturing Emissions (Scope 2)</w:t>
      </w:r>
    </w:p>
    <w:p>
      <w:pPr>
        <w:numPr>
          <w:ilvl w:val="0"/>
          <w:numId w:val="1011"/>
        </w:numPr>
        <w:pStyle w:val="Compact"/>
      </w:pPr>
      <w:r>
        <w:t xml:space="preserve">Energy Intensity: 0.2 kWh/unit</w:t>
      </w:r>
    </w:p>
    <w:p>
      <w:pPr>
        <w:numPr>
          <w:ilvl w:val="0"/>
          <w:numId w:val="1011"/>
        </w:numPr>
        <w:pStyle w:val="Compact"/>
      </w:pPr>
      <w:r>
        <w:t xml:space="preserve">Renewable Energy Usage: 30%</w:t>
      </w:r>
    </w:p>
    <w:p>
      <w:pPr>
        <w:numPr>
          <w:ilvl w:val="0"/>
          <w:numId w:val="1011"/>
        </w:numPr>
        <w:pStyle w:val="Compact"/>
      </w:pPr>
      <w:r>
        <w:t xml:space="preserve">Non-renewable energy consumed: (1 - 0.30) * 0.2 kWh = 0.14 kWh</w:t>
      </w:r>
    </w:p>
    <w:p>
      <w:pPr>
        <w:numPr>
          <w:ilvl w:val="0"/>
          <w:numId w:val="1011"/>
        </w:numPr>
        <w:pStyle w:val="Compact"/>
      </w:pPr>
      <w:r>
        <w:t xml:space="preserve">China Grid Electricity Emission Factor: 0.60 kgCO2e/kWh</w:t>
      </w:r>
    </w:p>
    <w:p>
      <w:pPr>
        <w:numPr>
          <w:ilvl w:val="0"/>
          <w:numId w:val="1011"/>
        </w:numPr>
        <w:pStyle w:val="Compact"/>
      </w:pPr>
      <w:r>
        <w:rPr>
          <w:bCs/>
          <w:b/>
        </w:rPr>
        <w:t xml:space="preserve">Manufacturing Emissions:</w:t>
      </w:r>
      <w:r>
        <w:t xml:space="preserve"> </w:t>
      </w:r>
      <w:r>
        <w:t xml:space="preserve">0.14 kWh * 0.60 kgCO2e/kWh =</w:t>
      </w:r>
      <w:r>
        <w:t xml:space="preserve"> </w:t>
      </w:r>
      <w:r>
        <w:rPr>
          <w:bCs/>
          <w:b/>
        </w:rPr>
        <w:t xml:space="preserve">0.084 kgCO2e</w:t>
      </w:r>
    </w:p>
    <w:bookmarkEnd w:id="32"/>
    <w:bookmarkStart w:id="33" w:name="transport-emissions-scope-3-category-4"/>
    <w:p>
      <w:pPr>
        <w:pStyle w:val="Heading3"/>
      </w:pPr>
      <w:r>
        <w:t xml:space="preserve">3.4. Transport Emissions (Scope 3, Category 4)</w:t>
      </w:r>
    </w:p>
    <w:p>
      <w:pPr>
        <w:pStyle w:val="FirstParagraph"/>
      </w:pPr>
      <w:r>
        <w:t xml:space="preserve">Calculations for the transport of one 0.26 kg unit of</w:t>
      </w:r>
      <w:r>
        <w:t xml:space="preserve"> </w:t>
      </w:r>
      <w:r>
        <w:rPr>
          <w:bCs/>
          <w:b/>
        </w:rPr>
        <w:t xml:space="preserve">uotlyeiyfy</w:t>
      </w:r>
      <w:r>
        <w:t xml:space="preserve">:</w:t>
      </w:r>
    </w:p>
    <w:p>
      <w:pPr>
        <w:numPr>
          <w:ilvl w:val="0"/>
          <w:numId w:val="1012"/>
        </w:numPr>
        <w:pStyle w:val="Compact"/>
      </w:pPr>
      <w:r>
        <w:rPr>
          <w:bCs/>
          <w:b/>
        </w:rPr>
        <w:t xml:space="preserve">Ocean Freight (China to Europe):</w:t>
      </w:r>
    </w:p>
    <w:p>
      <w:pPr>
        <w:numPr>
          <w:ilvl w:val="1"/>
          <w:numId w:val="1013"/>
        </w:numPr>
        <w:pStyle w:val="Compact"/>
      </w:pPr>
      <w:r>
        <w:t xml:space="preserve">Distance: 15,000 km</w:t>
      </w:r>
    </w:p>
    <w:p>
      <w:pPr>
        <w:numPr>
          <w:ilvl w:val="1"/>
          <w:numId w:val="1013"/>
        </w:numPr>
        <w:pStyle w:val="Compact"/>
      </w:pPr>
      <w:r>
        <w:t xml:space="preserve">Product Weight: 0.00026 tonnes</w:t>
      </w:r>
    </w:p>
    <w:p>
      <w:pPr>
        <w:numPr>
          <w:ilvl w:val="1"/>
          <w:numId w:val="1013"/>
        </w:numPr>
        <w:pStyle w:val="Compact"/>
      </w:pPr>
      <w:r>
        <w:t xml:space="preserve">Emission Factor: 0.015 kgCO2e/tonne-km</w:t>
      </w:r>
    </w:p>
    <w:p>
      <w:pPr>
        <w:numPr>
          <w:ilvl w:val="1"/>
          <w:numId w:val="1013"/>
        </w:numPr>
        <w:pStyle w:val="Compact"/>
      </w:pPr>
      <w:r>
        <w:t xml:space="preserve">Emissions: 15,000 km * 0.00026 tonnes * 0.015 kgCO2e/tonne-km =</w:t>
      </w:r>
      <w:r>
        <w:t xml:space="preserve"> </w:t>
      </w:r>
      <w:r>
        <w:rPr>
          <w:bCs/>
          <w:b/>
        </w:rPr>
        <w:t xml:space="preserve">0.0585 kgCO2e</w:t>
      </w:r>
    </w:p>
    <w:p>
      <w:pPr>
        <w:numPr>
          <w:ilvl w:val="0"/>
          <w:numId w:val="1012"/>
        </w:numPr>
        <w:pStyle w:val="Compact"/>
      </w:pPr>
      <w:r>
        <w:rPr>
          <w:bCs/>
          <w:b/>
        </w:rPr>
        <w:t xml:space="preserve">Road Freight (European Inland to Distribution Hub):</w:t>
      </w:r>
    </w:p>
    <w:p>
      <w:pPr>
        <w:numPr>
          <w:ilvl w:val="1"/>
          <w:numId w:val="1014"/>
        </w:numPr>
        <w:pStyle w:val="Compact"/>
      </w:pPr>
      <w:r>
        <w:t xml:space="preserve">Distance: 500 km</w:t>
      </w:r>
    </w:p>
    <w:p>
      <w:pPr>
        <w:numPr>
          <w:ilvl w:val="1"/>
          <w:numId w:val="1014"/>
        </w:numPr>
        <w:pStyle w:val="Compact"/>
      </w:pPr>
      <w:r>
        <w:t xml:space="preserve">Product Weight: 0.00026 tonnes</w:t>
      </w:r>
    </w:p>
    <w:p>
      <w:pPr>
        <w:numPr>
          <w:ilvl w:val="1"/>
          <w:numId w:val="1014"/>
        </w:numPr>
        <w:pStyle w:val="Compact"/>
      </w:pPr>
      <w:r>
        <w:t xml:space="preserve">Emission Factor: 0.095 kgCO2e/tonne-km</w:t>
      </w:r>
    </w:p>
    <w:p>
      <w:pPr>
        <w:numPr>
          <w:ilvl w:val="1"/>
          <w:numId w:val="1014"/>
        </w:numPr>
        <w:pStyle w:val="Compact"/>
      </w:pPr>
      <w:r>
        <w:t xml:space="preserve">Emissions: 500 km * 0.00026 tonnes * 0.095 kgCO2e/tonne-km =</w:t>
      </w:r>
      <w:r>
        <w:t xml:space="preserve"> </w:t>
      </w:r>
      <w:r>
        <w:rPr>
          <w:bCs/>
          <w:b/>
        </w:rPr>
        <w:t xml:space="preserve">0.01235 kgCO2e</w:t>
      </w:r>
    </w:p>
    <w:p>
      <w:pPr>
        <w:numPr>
          <w:ilvl w:val="0"/>
          <w:numId w:val="1012"/>
        </w:numPr>
        <w:pStyle w:val="Compact"/>
      </w:pPr>
      <w:r>
        <w:rPr>
          <w:bCs/>
          <w:b/>
        </w:rPr>
        <w:t xml:space="preserve">Last-Mile Delivery (Parcel Delivery Van):</w:t>
      </w:r>
    </w:p>
    <w:p>
      <w:pPr>
        <w:numPr>
          <w:ilvl w:val="1"/>
          <w:numId w:val="1015"/>
        </w:numPr>
        <w:pStyle w:val="Compact"/>
      </w:pPr>
      <w:r>
        <w:t xml:space="preserve">Distance: 100 km</w:t>
      </w:r>
    </w:p>
    <w:p>
      <w:pPr>
        <w:numPr>
          <w:ilvl w:val="1"/>
          <w:numId w:val="1015"/>
        </w:numPr>
        <w:pStyle w:val="Compact"/>
      </w:pPr>
      <w:r>
        <w:t xml:space="preserve">Product Weight: 0.26 kg = 0.00026 tonnes</w:t>
      </w:r>
    </w:p>
    <w:p>
      <w:pPr>
        <w:numPr>
          <w:ilvl w:val="1"/>
          <w:numId w:val="1015"/>
        </w:numPr>
        <w:pStyle w:val="Compact"/>
      </w:pPr>
      <w:r>
        <w:t xml:space="preserve">Emission Factor: 0.5 kgCO2e/tonne-km</w:t>
      </w:r>
    </w:p>
    <w:p>
      <w:pPr>
        <w:numPr>
          <w:ilvl w:val="1"/>
          <w:numId w:val="1015"/>
        </w:numPr>
        <w:pStyle w:val="Compact"/>
      </w:pPr>
      <w:r>
        <w:t xml:space="preserve">Emissions: 100 km * 0.00026 tonnes * 0.5 kgCO2e/tonne-km =</w:t>
      </w:r>
      <w:r>
        <w:t xml:space="preserve"> </w:t>
      </w:r>
      <w:r>
        <w:rPr>
          <w:bCs/>
          <w:b/>
        </w:rPr>
        <w:t xml:space="preserve">0.013 kgCO2e</w:t>
      </w:r>
    </w:p>
    <w:p>
      <w:pPr>
        <w:pStyle w:val="FirstParagraph"/>
      </w:pPr>
      <w:r>
        <w:rPr>
          <w:bCs/>
          <w:b/>
        </w:rPr>
        <w:t xml:space="preserve">Total Transport Emissions: 0.0585 + 0.01235 + 0.013 = 0.08385 kgCO2e</w:t>
      </w:r>
    </w:p>
    <w:bookmarkEnd w:id="33"/>
    <w:bookmarkStart w:id="34" w:name="use-phase-emissions-scope-3-category-11"/>
    <w:p>
      <w:pPr>
        <w:pStyle w:val="Heading3"/>
      </w:pPr>
      <w:r>
        <w:t xml:space="preserve">3.5. Use Phase Emissions (Scope 3, Category 11)</w:t>
      </w:r>
    </w:p>
    <w:p>
      <w:pPr>
        <w:numPr>
          <w:ilvl w:val="0"/>
          <w:numId w:val="1016"/>
        </w:numPr>
        <w:pStyle w:val="Compact"/>
      </w:pPr>
      <w:r>
        <w:t xml:space="preserve">Energy Consumption over Lifespan: 10 kWh</w:t>
      </w:r>
    </w:p>
    <w:p>
      <w:pPr>
        <w:numPr>
          <w:ilvl w:val="0"/>
          <w:numId w:val="1016"/>
        </w:numPr>
        <w:pStyle w:val="Compact"/>
      </w:pPr>
      <w:r>
        <w:t xml:space="preserve">European Grid Electricity Emission Factor: 0.29 kgCO2e/kWh</w:t>
      </w:r>
    </w:p>
    <w:p>
      <w:pPr>
        <w:numPr>
          <w:ilvl w:val="0"/>
          <w:numId w:val="1016"/>
        </w:numPr>
        <w:pStyle w:val="Compact"/>
      </w:pPr>
      <w:r>
        <w:rPr>
          <w:bCs/>
          <w:b/>
        </w:rPr>
        <w:t xml:space="preserve">Use Phase Emissions:</w:t>
      </w:r>
      <w:r>
        <w:t xml:space="preserve"> </w:t>
      </w:r>
      <w:r>
        <w:t xml:space="preserve">10 kWh * 0.29 kgCO2e/kWh =</w:t>
      </w:r>
      <w:r>
        <w:t xml:space="preserve"> </w:t>
      </w:r>
      <w:r>
        <w:rPr>
          <w:bCs/>
          <w:b/>
        </w:rPr>
        <w:t xml:space="preserve">2.900 kgCO2e</w:t>
      </w:r>
    </w:p>
    <w:bookmarkEnd w:id="34"/>
    <w:bookmarkStart w:id="35" w:name="Xbb418487dd7cda9440b041b0bddba3a7ee359ea"/>
    <w:p>
      <w:pPr>
        <w:pStyle w:val="Heading3"/>
      </w:pPr>
      <w:r>
        <w:t xml:space="preserve">3.6. End-of-Life (EoL) Emissions (Scope 3, Category 12)</w:t>
      </w:r>
    </w:p>
    <w:p>
      <w:pPr>
        <w:numPr>
          <w:ilvl w:val="0"/>
          <w:numId w:val="1017"/>
        </w:numPr>
        <w:pStyle w:val="Compact"/>
      </w:pPr>
      <w:r>
        <w:t xml:space="preserve">Total Material Mass: 0.26 kg</w:t>
      </w:r>
    </w:p>
    <w:p>
      <w:pPr>
        <w:numPr>
          <w:ilvl w:val="0"/>
          <w:numId w:val="1017"/>
        </w:numPr>
        <w:pStyle w:val="Compact"/>
      </w:pPr>
      <w:r>
        <w:t xml:space="preserve">Recyclability Percentage: 70%</w:t>
      </w:r>
    </w:p>
    <w:p>
      <w:pPr>
        <w:numPr>
          <w:ilvl w:val="0"/>
          <w:numId w:val="1017"/>
        </w:numPr>
        <w:pStyle w:val="Compact"/>
      </w:pPr>
      <w:r>
        <w:t xml:space="preserve">Mass Recycled: 0.26 kg * 0.70 = 0.182 kg</w:t>
      </w:r>
    </w:p>
    <w:p>
      <w:pPr>
        <w:numPr>
          <w:ilvl w:val="0"/>
          <w:numId w:val="1017"/>
        </w:numPr>
        <w:pStyle w:val="Compact"/>
      </w:pPr>
      <w:r>
        <w:t xml:space="preserve">Mass Disposed: 0.26 kg * (1 - 0.70) = 0.078 kg</w:t>
      </w:r>
    </w:p>
    <w:p>
      <w:pPr>
        <w:numPr>
          <w:ilvl w:val="0"/>
          <w:numId w:val="1017"/>
        </w:numPr>
        <w:pStyle w:val="Compact"/>
      </w:pPr>
      <w:r>
        <w:t xml:space="preserve">Recycling Avoided Emissions Factor: -2.0 kgCO2e/kg</w:t>
      </w:r>
    </w:p>
    <w:p>
      <w:pPr>
        <w:numPr>
          <w:ilvl w:val="0"/>
          <w:numId w:val="1017"/>
        </w:numPr>
        <w:pStyle w:val="Compact"/>
      </w:pPr>
      <w:r>
        <w:rPr>
          <w:bCs/>
          <w:b/>
        </w:rPr>
        <w:t xml:space="preserve">Avoided Emissions from Recycling:</w:t>
      </w:r>
      <w:r>
        <w:t xml:space="preserve"> </w:t>
      </w:r>
      <w:r>
        <w:t xml:space="preserve">-(0.182 kg * 2.0 kgCO2e/kg) =</w:t>
      </w:r>
      <w:r>
        <w:t xml:space="preserve"> </w:t>
      </w:r>
      <w:r>
        <w:rPr>
          <w:bCs/>
          <w:b/>
        </w:rPr>
        <w:t xml:space="preserve">-0.364 kgCO2e</w:t>
      </w:r>
      <w:r>
        <w:t xml:space="preserve"> </w:t>
      </w:r>
      <w:r>
        <w:t xml:space="preserve">(Credit)</w:t>
      </w:r>
    </w:p>
    <w:p>
      <w:pPr>
        <w:numPr>
          <w:ilvl w:val="0"/>
          <w:numId w:val="1017"/>
        </w:numPr>
        <w:pStyle w:val="Compact"/>
      </w:pPr>
      <w:r>
        <w:t xml:space="preserve">Landfill Emission Factor (Electronic Waste): 0.05 kgCO2e/kg</w:t>
      </w:r>
    </w:p>
    <w:p>
      <w:pPr>
        <w:numPr>
          <w:ilvl w:val="0"/>
          <w:numId w:val="1017"/>
        </w:numPr>
        <w:pStyle w:val="Compact"/>
      </w:pPr>
      <w:r>
        <w:rPr>
          <w:bCs/>
          <w:b/>
        </w:rPr>
        <w:t xml:space="preserve">Emissions from Disposal:</w:t>
      </w:r>
      <w:r>
        <w:t xml:space="preserve"> </w:t>
      </w:r>
      <w:r>
        <w:t xml:space="preserve">0.078 kg * 0.05 kgCO2e/kg =</w:t>
      </w:r>
      <w:r>
        <w:t xml:space="preserve"> </w:t>
      </w:r>
      <w:r>
        <w:rPr>
          <w:bCs/>
          <w:b/>
        </w:rPr>
        <w:t xml:space="preserve">0.0039 kgCO2e</w:t>
      </w:r>
    </w:p>
    <w:p>
      <w:pPr>
        <w:numPr>
          <w:ilvl w:val="0"/>
          <w:numId w:val="1017"/>
        </w:numPr>
        <w:pStyle w:val="Compact"/>
      </w:pPr>
      <w:r>
        <w:rPr>
          <w:bCs/>
          <w:b/>
        </w:rPr>
        <w:t xml:space="preserve">Net End-of-Life Emissions:</w:t>
      </w:r>
      <w:r>
        <w:t xml:space="preserve"> </w:t>
      </w:r>
      <w:r>
        <w:t xml:space="preserve">0.0039 - 0.364 =</w:t>
      </w:r>
      <w:r>
        <w:t xml:space="preserve"> </w:t>
      </w:r>
      <w:r>
        <w:rPr>
          <w:bCs/>
          <w:b/>
        </w:rPr>
        <w:t xml:space="preserve">-0.3601 kgCO2e</w:t>
      </w:r>
    </w:p>
    <w:p>
      <w:pPr>
        <w:numPr>
          <w:ilvl w:val="0"/>
          <w:numId w:val="1017"/>
        </w:numPr>
        <w:pStyle w:val="Compact"/>
      </w:pPr>
      <w:r>
        <w:t xml:space="preserve">Circular/Take-back Programs: The presence of "Active take-back program with certified partners" (vhpxwhxtxn) supports the achievement of the high recyclability percentage and could further enhance material recovery and reuse, reducing virgin material demand in subsequent product cycles.</w:t>
      </w:r>
    </w:p>
    <w:p>
      <w:r>
        <w:pict>
          <v:rect style="width:0;height:1.5pt" o:hralign="center" o:hrstd="t" o:hr="t"/>
        </w:pict>
      </w:r>
    </w:p>
    <w:bookmarkEnd w:id="35"/>
    <w:bookmarkEnd w:id="36"/>
    <w:bookmarkStart w:id="39" w:name="review-report"/>
    <w:p>
      <w:pPr>
        <w:pStyle w:val="Heading2"/>
      </w:pPr>
      <w:r>
        <w:t xml:space="preserve">4. Review &amp; Report</w:t>
      </w:r>
    </w:p>
    <w:bookmarkStart w:id="37" w:name="total-product-carbon-footprint-pcf"/>
    <w:p>
      <w:pPr>
        <w:pStyle w:val="Heading3"/>
      </w:pPr>
      <w:r>
        <w:t xml:space="preserve">4.1. Total Product Carbon Footprint (PCF)</w:t>
      </w:r>
    </w:p>
    <w:p>
      <w:pPr>
        <w:pStyle w:val="FirstParagraph"/>
      </w:pPr>
      <w:r>
        <w:t xml:space="preserve">The summarized Product Carbon Footprint for one functional unit of</w:t>
      </w:r>
      <w:r>
        <w:t xml:space="preserve"> </w:t>
      </w:r>
      <w:r>
        <w:rPr>
          <w:bCs/>
          <w:b/>
        </w:rPr>
        <w:t xml:space="preserve">uotlyeiyfy</w:t>
      </w:r>
      <w:r>
        <w:t xml:space="preserve"> </w:t>
      </w:r>
      <w:r>
        <w:t xml:space="preserve">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Production</w:t>
            </w:r>
          </w:p>
        </w:tc>
        <w:tc>
          <w:tcPr/>
          <w:p>
            <w:pPr>
              <w:pStyle w:val="Compact"/>
              <w:jc w:val="left"/>
            </w:pPr>
            <w:r>
              <w:t xml:space="preserve">Scope 3, Category 1</w:t>
            </w:r>
          </w:p>
        </w:tc>
        <w:tc>
          <w:tcPr/>
          <w:p>
            <w:pPr>
              <w:pStyle w:val="Compact"/>
              <w:jc w:val="left"/>
            </w:pPr>
            <w:r>
              <w:t xml:space="preserve">2.755</w:t>
            </w:r>
          </w:p>
        </w:tc>
      </w:tr>
      <w:tr>
        <w:tc>
          <w:tcPr/>
          <w:p>
            <w:pPr>
              <w:pStyle w:val="Compact"/>
              <w:jc w:val="left"/>
            </w:pPr>
            <w:r>
              <w:t xml:space="preserve">Product Manufacturing</w:t>
            </w:r>
          </w:p>
        </w:tc>
        <w:tc>
          <w:tcPr/>
          <w:p>
            <w:pPr>
              <w:pStyle w:val="Compact"/>
              <w:jc w:val="left"/>
            </w:pPr>
            <w:r>
              <w:t xml:space="preserve">Scope 2</w:t>
            </w:r>
          </w:p>
        </w:tc>
        <w:tc>
          <w:tcPr/>
          <w:p>
            <w:pPr>
              <w:pStyle w:val="Compact"/>
              <w:jc w:val="left"/>
            </w:pPr>
            <w:r>
              <w:t xml:space="preserve">0.084</w:t>
            </w:r>
          </w:p>
        </w:tc>
      </w:tr>
      <w:tr>
        <w:tc>
          <w:tcPr/>
          <w:p>
            <w:pPr>
              <w:pStyle w:val="Compact"/>
              <w:jc w:val="left"/>
            </w:pPr>
            <w:r>
              <w:t xml:space="preserve">Transport</w:t>
            </w:r>
          </w:p>
        </w:tc>
        <w:tc>
          <w:tcPr/>
          <w:p>
            <w:pPr>
              <w:pStyle w:val="Compact"/>
              <w:jc w:val="left"/>
            </w:pPr>
            <w:r>
              <w:t xml:space="preserve">Scope 3, Category 4</w:t>
            </w:r>
          </w:p>
        </w:tc>
        <w:tc>
          <w:tcPr/>
          <w:p>
            <w:pPr>
              <w:pStyle w:val="Compact"/>
              <w:jc w:val="left"/>
            </w:pPr>
            <w:r>
              <w:t xml:space="preserve">0.08385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2.900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-0.3601</w:t>
            </w:r>
          </w:p>
        </w:tc>
      </w:tr>
      <w:tr>
        <w:tc>
          <w:tcPr>
            <w:gridSpan w:val="2"/>
          </w:tcPr>
          <w:p>
            <w:pPr>
              <w:pStyle w:val="Compact"/>
              <w:jc w:val="right"/>
            </w:pPr>
            <w:r>
              <w:t xml:space="preserve">TOTAL PCF (kgCO2e/unit)</w:t>
            </w:r>
          </w:p>
        </w:tc>
        <w:tc>
          <w:tcPr/>
          <w:p>
            <w:pPr>
              <w:pStyle w:val="Compact"/>
              <w:jc w:val="left"/>
            </w:pPr>
            <w:r>
              <w:t xml:space="preserve">5.46275</w:t>
            </w:r>
          </w:p>
        </w:tc>
      </w:tr>
    </w:tbl>
    <w:bookmarkEnd w:id="37"/>
    <w:bookmarkStart w:id="38" w:name="emission-hotspots-and-reliability"/>
    <w:p>
      <w:pPr>
        <w:pStyle w:val="Heading3"/>
      </w:pPr>
      <w:r>
        <w:t xml:space="preserve">4.2. Emission Hotspots and Reliability</w:t>
      </w:r>
    </w:p>
    <w:p>
      <w:pPr>
        <w:pStyle w:val="FirstParagraph"/>
      </w:pPr>
      <w:r>
        <w:t xml:space="preserve">The major contributors to the PCF of uotlyeiyfy are the</w:t>
      </w:r>
      <w:r>
        <w:t xml:space="preserve"> </w:t>
      </w:r>
      <w:r>
        <w:rPr>
          <w:bCs/>
          <w:b/>
        </w:rPr>
        <w:t xml:space="preserve">Use Phase (53.1%)</w:t>
      </w:r>
      <w:r>
        <w:t xml:space="preserve"> </w:t>
      </w:r>
      <w:r>
        <w:t xml:space="preserve">and</w:t>
      </w:r>
      <w:r>
        <w:t xml:space="preserve"> </w:t>
      </w:r>
      <w:r>
        <w:rPr>
          <w:bCs/>
          <w:b/>
        </w:rPr>
        <w:t xml:space="preserve">Material Production (50.4%)</w:t>
      </w:r>
      <w:r>
        <w:t xml:space="preserve">. This indicates that efforts to reduce the product\'s footprint should focus on improving energy efficiency during its operational life and sourcing lower-impact materials. The End-of-Life phase provides a significant credit due to a high recyclability percentage, highlighting the positive impact of circular economy initiatives.</w:t>
      </w:r>
    </w:p>
    <w:p>
      <w:pPr>
        <w:pStyle w:val="BodyText"/>
      </w:pPr>
      <w:r>
        <w:t xml:space="preserve">The reliability of this analysis is considered high, given the use of specific provided parameters for company operations, energy mix, and end-of-life scenarios. Emission factors are based on recognized industry standards (GHG Protocol, Ecoinvent/DEFRA representative values, and sourced from recent literature). Assumptions made for placeholder values (e.g., specific transport distances, parcel delivery EF, BOM data synthesis) are clearly stated and are based on typical industry averages for similar products and supply chains. Further refinement would benefit from primary data for all material origins, exact transport distances for each BOM item, and specific electricity mix for the end-user region if diverse.</w:t>
      </w:r>
    </w:p>
    <w:p>
      <w:r>
        <w:pict>
          <v:rect style="width:0;height:1.5pt" o:hralign="center" o:hrstd="t" o:hr="t"/>
        </w:pict>
      </w:r>
    </w:p>
    <w:bookmarkEnd w:id="38"/>
    <w:bookmarkEnd w:id="39"/>
    <w:bookmarkStart w:id="40" w:name="conclusion-and-recommendations"/>
    <w:p>
      <w:pPr>
        <w:pStyle w:val="Heading2"/>
      </w:pPr>
      <w:r>
        <w:t xml:space="preserve">5. Conclusion and Recommendations</w:t>
      </w:r>
    </w:p>
    <w:p>
      <w:pPr>
        <w:pStyle w:val="FirstParagraph"/>
      </w:pPr>
      <w:r>
        <w:t xml:space="preserve">The Product Carbon Footprint for</w:t>
      </w:r>
      <w:r>
        <w:t xml:space="preserve"> </w:t>
      </w:r>
      <w:r>
        <w:rPr>
          <w:bCs/>
          <w:b/>
        </w:rPr>
        <w:t xml:space="preserve">uotlyeiyfy</w:t>
      </w:r>
      <w:r>
        <w:t xml:space="preserve"> </w:t>
      </w:r>
      <w:r>
        <w:t xml:space="preserve">stands at</w:t>
      </w:r>
      <w:r>
        <w:t xml:space="preserve"> </w:t>
      </w:r>
      <w:r>
        <w:rPr>
          <w:bCs/>
          <w:b/>
        </w:rPr>
        <w:t xml:space="preserve">5.46 kgCO2e</w:t>
      </w:r>
      <w:r>
        <w:t xml:space="preserve"> </w:t>
      </w:r>
      <w:r>
        <w:t xml:space="preserve">per functional unit.</w:t>
      </w:r>
      <w:r>
        <w:t xml:space="preserve"> </w:t>
      </w:r>
      <w:r>
        <w:rPr>
          <w:bCs/>
          <w:b/>
        </w:rPr>
        <w:t xml:space="preserve">vxnkqsxqug</w:t>
      </w:r>
      <w:r>
        <w:t xml:space="preserve"> </w:t>
      </w:r>
      <w:r>
        <w:t xml:space="preserve">has a significant opportunity to further reduce this footprint by focusing on the following areas:</w:t>
      </w:r>
    </w:p>
    <w:p>
      <w:pPr>
        <w:numPr>
          <w:ilvl w:val="0"/>
          <w:numId w:val="1018"/>
        </w:numPr>
        <w:pStyle w:val="Compact"/>
      </w:pPr>
      <w:r>
        <w:rPr>
          <w:bCs/>
          <w:b/>
        </w:rPr>
        <w:t xml:space="preserve">Enhance Use Phase Efficiency:</w:t>
      </w:r>
      <w:r>
        <w:t xml:space="preserve"> </w:t>
      </w:r>
      <w:r>
        <w:t xml:space="preserve">Invest in R&amp;D to significantly reduce the product\'s energy consumption during its lifespan. Promoting energy-efficient usage patterns and providing clear user guidance can also contribute.</w:t>
      </w:r>
    </w:p>
    <w:p>
      <w:pPr>
        <w:numPr>
          <w:ilvl w:val="0"/>
          <w:numId w:val="1018"/>
        </w:numPr>
        <w:pStyle w:val="Compact"/>
      </w:pPr>
      <w:r>
        <w:rPr>
          <w:bCs/>
          <w:b/>
        </w:rPr>
        <w:t xml:space="preserve">Sustainable Material Sourcing:</w:t>
      </w:r>
      <w:r>
        <w:t xml:space="preserve"> </w:t>
      </w:r>
      <w:r>
        <w:t xml:space="preserve">Continue to explore and implement materials with lower embodied carbon, potentially through increasing the use of recycled content beyond the current recyclability potential, or engaging with suppliers on their decarbonization efforts.</w:t>
      </w:r>
    </w:p>
    <w:p>
      <w:pPr>
        <w:numPr>
          <w:ilvl w:val="0"/>
          <w:numId w:val="1018"/>
        </w:numPr>
        <w:pStyle w:val="Compact"/>
      </w:pPr>
      <w:r>
        <w:rPr>
          <w:bCs/>
          <w:b/>
        </w:rPr>
        <w:t xml:space="preserve">Optimize Logistics:</w:t>
      </w:r>
      <w:r>
        <w:t xml:space="preserve"> </w:t>
      </w:r>
      <w:r>
        <w:t xml:space="preserve">While transport is a smaller contributor, continued optimization of transport modes (e.g., favoring rail or sea over road where feasible) and route planning can yield further reductions.</w:t>
      </w:r>
    </w:p>
    <w:p>
      <w:pPr>
        <w:numPr>
          <w:ilvl w:val="0"/>
          <w:numId w:val="1018"/>
        </w:numPr>
        <w:pStyle w:val="Compact"/>
      </w:pPr>
      <w:r>
        <w:rPr>
          <w:bCs/>
          <w:b/>
        </w:rPr>
        <w:t xml:space="preserve">Strengthen Circularity:</w:t>
      </w:r>
      <w:r>
        <w:t xml:space="preserve"> </w:t>
      </w:r>
      <w:r>
        <w:t xml:space="preserve">Leverage the "Active take-back program with certified partners" (`vhpxwhxtxn`) to maximize actual recycling rates and explore opportunities for repair, refurbishment, or reuse models to further extend product lifespan and reduce virgin material demand.</w:t>
      </w:r>
    </w:p>
    <w:p>
      <w:pPr>
        <w:pStyle w:val="FirstParagraph"/>
      </w:pPr>
      <w:r>
        <w:t xml:space="preserve">This analysis provides a foundational understanding of</w:t>
      </w:r>
      <w:r>
        <w:t xml:space="preserve"> </w:t>
      </w:r>
      <w:r>
        <w:rPr>
          <w:bCs/>
          <w:b/>
        </w:rPr>
        <w:t xml:space="preserve">uotlyeiyfy</w:t>
      </w:r>
      <w:r>
        <w:t xml:space="preserve">\'s environmental impact, serving as a critical tool for strategic sustainability planning and continuous improvement for</w:t>
      </w:r>
      <w:r>
        <w:t xml:space="preserve"> </w:t>
      </w:r>
      <w:r>
        <w:rPr>
          <w:bCs/>
          <w:b/>
        </w:rPr>
        <w:t xml:space="preserve">vxnkqsxqug</w:t>
      </w:r>
      <w:r>
        <w:t xml:space="preserve">.</w:t>
      </w:r>
    </w:p>
    <w:p>
      <w:pPr>
        <w:pStyle w:val="BodyText"/>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uotlyeiyfy</dc:title>
  <dc:creator/>
  <dc:description>High-detail Product Carbon Footprint (PCF) analysis for uotlyeiyfy by Senior Sustainability Consultant wnhilrhjjs for vxnkqsxqug, adhering to GHG Protocol and 2026 LSR Update.</dc:description>
  <dc:language>en</dc:language>
  <cp:keywords/>
  <dcterms:created xsi:type="dcterms:W3CDTF">2026-05-30T20:09:10Z</dcterms:created>
  <dcterms:modified xsi:type="dcterms:W3CDTF">2026-05-30T20:09:10Z</dcterms:modified>
</cp:coreProperties>
</file>

<file path=docProps/custom.xml><?xml version="1.0" encoding="utf-8"?>
<Properties xmlns="http://schemas.openxmlformats.org/officeDocument/2006/custom-properties" xmlns:vt="http://schemas.openxmlformats.org/officeDocument/2006/docPropsVTypes"/>
</file>