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uomxmsxroz</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uomxmsxroz"/>
    <w:p>
      <w:pPr>
        <w:pStyle w:val="Heading2"/>
      </w:pPr>
      <w:r>
        <w:t xml:space="preserve">For uomxmsxroz</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owzhgdlyxj</w:t>
      </w:r>
    </w:p>
    <w:p>
      <w:pPr>
        <w:pStyle w:val="BodyText"/>
      </w:pPr>
      <w:r>
        <w:rPr>
          <w:bCs/>
          <w:b/>
        </w:rPr>
        <w:t xml:space="preserve">Senior Sustainability Consultant:</w:t>
      </w:r>
      <w:r>
        <w:t xml:space="preserve"> </w:t>
      </w:r>
      <w:r>
        <w:t xml:space="preserve">ggvdjlpddt</w:t>
      </w:r>
    </w:p>
    <w:p>
      <w:pPr>
        <w:pStyle w:val="BodyText"/>
      </w:pPr>
      <w:r>
        <w:t xml:space="preserve">This report is generated based on available data and industry standards for illustrative purposes.</w:t>
      </w:r>
    </w:p>
    <w:bookmarkEnd w:id="20"/>
    <w:bookmarkEnd w:id="21"/>
    <w:bookmarkStart w:id="24" w:name="X3006bf044a9b4dede8dc060ba670456dcfe0a5e"/>
    <w:p>
      <w:pPr>
        <w:pStyle w:val="Heading1"/>
      </w:pPr>
      <w:r>
        <w:t xml:space="preserve">Product Carbon Footprint Analysis for uomxmsxroz</w:t>
      </w:r>
    </w:p>
    <w:p>
      <w:pPr>
        <w:pStyle w:val="FirstParagraph"/>
      </w:pPr>
      <w:r>
        <w:t xml:space="preserve">Generated Date: June 4, 2026</w:t>
      </w:r>
    </w:p>
    <w:bookmarkStart w:id="23" w:name="X19e15381ab2e9e0b1cb0153964875389c495362"/>
    <w:p>
      <w:pPr>
        <w:pStyle w:val="Heading2"/>
      </w:pPr>
      <w:r>
        <w:t xml:space="preserve">Prepared by ggvdjlpddt, Senior Sustainability Consultant</w:t>
      </w:r>
    </w:p>
    <w:bookmarkStart w:id="22" w:name="for-owzhgdlyxj"/>
    <w:p>
      <w:pPr>
        <w:pStyle w:val="Heading3"/>
      </w:pPr>
      <w:r>
        <w:t xml:space="preserve">For owzhgdlyxj</w:t>
      </w:r>
    </w:p>
    <w:p>
      <w:r>
        <w:pict>
          <v:rect style="width:0;height:1.5pt" o:hralign="center" o:hrstd="t" o:hr="t"/>
        </w:pict>
      </w:r>
    </w:p>
    <w:bookmarkEnd w:id="22"/>
    <w:bookmarkEnd w:id="23"/>
    <w:bookmarkEnd w:id="24"/>
    <w:bookmarkStart w:id="25" w:name="executive-summary"/>
    <w:p>
      <w:pPr>
        <w:pStyle w:val="Heading2"/>
      </w:pPr>
      <w:r>
        <w:t xml:space="preserve">Executive Summary</w:t>
      </w:r>
    </w:p>
    <w:p>
      <w:pPr>
        <w:pStyle w:val="FirstParagraph"/>
      </w:pPr>
      <w:r>
        <w:t xml:space="preserve">This report details a high-precision Product Carbon Footprint (PCF) analysis for the product uomxmsxroz, manufactured by owzhgdlyxj. The assessment, conducted by ggvdjlpddt, a Senior Sustainability Consultant specializing in GHG Protocol, adheres strictly to the GHG Protocol accounting standard, including the 2026 Land Sector and Removals (LSR) Standard update and ensuring over 95% Scope 3 coverage. The analysis covers the entire lifecycle, from material acquisition to end-of-life, providing a comprehensive understanding of the product\'s environmental impact. Key findings highlight emission hotspots across the supply chain, production, use phase, and end-of-life scenarios, offering a basis for targeted decarbonization strategies.</w:t>
      </w:r>
    </w:p>
    <w:p>
      <w:r>
        <w:pict>
          <v:rect style="width:0;height:1.5pt" o:hralign="center" o:hrstd="t" o:hr="t"/>
        </w:pict>
      </w:r>
    </w:p>
    <w:bookmarkEnd w:id="25"/>
    <w:bookmarkStart w:id="31" w:name="methodology-and-scope-definition"/>
    <w:p>
      <w:pPr>
        <w:pStyle w:val="Heading2"/>
      </w:pPr>
      <w:r>
        <w:t xml:space="preserve">1. Methodology and Scope Definition</w:t>
      </w:r>
    </w:p>
    <w:p>
      <w:pPr>
        <w:pStyle w:val="FirstParagraph"/>
      </w:pPr>
      <w:r>
        <w:t xml:space="preserve">This PCF analysis follows a systematic methodology structured around the five key steps of the GHG Protocol:</w:t>
      </w:r>
    </w:p>
    <w:bookmarkStart w:id="26"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uomxmsxroz.</w:t>
      </w:r>
    </w:p>
    <w:p>
      <w:pPr>
        <w:numPr>
          <w:ilvl w:val="0"/>
          <w:numId w:val="1001"/>
        </w:numPr>
        <w:pStyle w:val="Compact"/>
      </w:pPr>
      <w:r>
        <w:rPr>
          <w:bCs/>
          <w:b/>
        </w:rPr>
        <w:t xml:space="preserve">System Boundary:</w:t>
      </w:r>
      <w:r>
        <w:t xml:space="preserve"> </w:t>
      </w:r>
      <w:r>
        <w:t xml:space="preserve">factory_gate, encompassing all upstream activities (raw material extraction, processing, manufacturing) up to the product leaving the factory gate, as well as downstream use and end-of-life phases.</w:t>
      </w:r>
    </w:p>
    <w:p>
      <w:pPr>
        <w:numPr>
          <w:ilvl w:val="0"/>
          <w:numId w:val="1001"/>
        </w:numPr>
        <w:pStyle w:val="Compact"/>
      </w:pPr>
      <w:r>
        <w:rPr>
          <w:bCs/>
          <w:b/>
        </w:rPr>
        <w:t xml:space="preserve">Geographic Scope:</w:t>
      </w:r>
      <w:r>
        <w:t xml:space="preserve"> </w:t>
      </w:r>
      <w:r>
        <w:t xml:space="preserve">Final Production Country: China, with a Supply Chain Focus on Europe.</w:t>
      </w:r>
    </w:p>
    <w:p>
      <w:pPr>
        <w:numPr>
          <w:ilvl w:val="0"/>
          <w:numId w:val="1001"/>
        </w:numPr>
        <w:pStyle w:val="Compact"/>
      </w:pPr>
      <w:r>
        <w:rPr>
          <w:bCs/>
          <w:b/>
        </w:rPr>
        <w:t xml:space="preserve">Accounting Standard:</w:t>
      </w:r>
      <w:r>
        <w:t xml:space="preserve"> </w:t>
      </w:r>
      <w:r>
        <w:t xml:space="preserve">GHG Protocol. This analysis categorizes emissions into Scope 1 (direct), Scope 2 (purchased energy), and Scope 3 (value chain) in accordance with the standard.</w:t>
      </w:r>
    </w:p>
    <w:p>
      <w:pPr>
        <w:numPr>
          <w:ilvl w:val="0"/>
          <w:numId w:val="1001"/>
        </w:numPr>
        <w:pStyle w:val="Compact"/>
      </w:pPr>
      <w:r>
        <w:rPr>
          <w:bCs/>
          <w:b/>
        </w:rPr>
        <w:t xml:space="preserve">Allocation:</w:t>
      </w:r>
      <w:r>
        <w:t xml:space="preserve"> </w:t>
      </w:r>
      <w:r>
        <w:t xml:space="preserve">Emissions are allocated directly to the functional unit of uomxmsxroz. For multi-product processes, emissions are allocated based on relevant physical parameters (e.g., mass, energy content) where applicable.</w:t>
      </w:r>
    </w:p>
    <w:bookmarkEnd w:id="26"/>
    <w:bookmarkStart w:id="27" w:name="map-lifecycle-lci-inventory-stages"/>
    <w:p>
      <w:pPr>
        <w:pStyle w:val="Heading3"/>
      </w:pPr>
      <w:r>
        <w:t xml:space="preserve">1.2. Map Lifecycle (LCI Inventory Stages)</w:t>
      </w:r>
    </w:p>
    <w:p>
      <w:pPr>
        <w:pStyle w:val="FirstParagraph"/>
      </w:pPr>
      <w:r>
        <w:t xml:space="preserve">The lifecycle of uomxmsxroz has been mapped across the following stages:</w:t>
      </w:r>
    </w:p>
    <w:p>
      <w:pPr>
        <w:numPr>
          <w:ilvl w:val="0"/>
          <w:numId w:val="1002"/>
        </w:numPr>
        <w:pStyle w:val="Compact"/>
      </w:pPr>
      <w:r>
        <w:rPr>
          <w:bCs/>
          <w:b/>
        </w:rPr>
        <w:t xml:space="preserve">Material Acquisition &amp; Pre-processing:</w:t>
      </w:r>
      <w:r>
        <w:t xml:space="preserve"> </w:t>
      </w:r>
      <w:r>
        <w:t xml:space="preserve">Extraction and initial processing of raw materials for all Bill of Materials (BOM) components.</w:t>
      </w:r>
    </w:p>
    <w:p>
      <w:pPr>
        <w:numPr>
          <w:ilvl w:val="0"/>
          <w:numId w:val="1002"/>
        </w:numPr>
        <w:pStyle w:val="Compact"/>
      </w:pPr>
      <w:r>
        <w:rPr>
          <w:bCs/>
          <w:b/>
        </w:rPr>
        <w:t xml:space="preserve">Manufacturing/Production:</w:t>
      </w:r>
      <w:r>
        <w:t xml:space="preserve"> </w:t>
      </w:r>
      <w:r>
        <w:t xml:space="preserve">All energy and process emissions related to the assembly and manufacturing of uomxmsxroz in the final production country (China).</w:t>
      </w:r>
    </w:p>
    <w:p>
      <w:pPr>
        <w:numPr>
          <w:ilvl w:val="0"/>
          <w:numId w:val="1002"/>
        </w:numPr>
        <w:pStyle w:val="Compact"/>
      </w:pPr>
      <w:r>
        <w:rPr>
          <w:bCs/>
          <w:b/>
        </w:rPr>
        <w:t xml:space="preserve">Transport (Upstream &amp; Downstream):</w:t>
      </w:r>
      <w:r>
        <w:t xml:space="preserve"> </w:t>
      </w:r>
      <w:r>
        <w:t xml:space="preserve">Transportation of raw materials and components to the factory (inbound), and finished products from the factory to the customer (outbound, including last-mile).</w:t>
      </w:r>
    </w:p>
    <w:p>
      <w:pPr>
        <w:numPr>
          <w:ilvl w:val="0"/>
          <w:numId w:val="1002"/>
        </w:numPr>
        <w:pStyle w:val="Compact"/>
      </w:pPr>
      <w:r>
        <w:rPr>
          <w:bCs/>
          <w:b/>
        </w:rPr>
        <w:t xml:space="preserve">Use Phase:</w:t>
      </w:r>
      <w:r>
        <w:t xml:space="preserve"> </w:t>
      </w:r>
      <w:r>
        <w:t xml:space="preserve">Energy consumption during the lifespan of the product.</w:t>
      </w:r>
    </w:p>
    <w:p>
      <w:pPr>
        <w:numPr>
          <w:ilvl w:val="0"/>
          <w:numId w:val="1002"/>
        </w:numPr>
        <w:pStyle w:val="Compact"/>
      </w:pPr>
      <w:r>
        <w:rPr>
          <w:bCs/>
          <w:b/>
        </w:rPr>
        <w:t xml:space="preserve">End-of-Life (EoL):</w:t>
      </w:r>
      <w:r>
        <w:t xml:space="preserve"> </w:t>
      </w:r>
      <w:r>
        <w:t xml:space="preserve">Emissions and potential avoided emissions associated with the product\'s disposal, recycling, or participation in circular programs.</w:t>
      </w:r>
    </w:p>
    <w:bookmarkEnd w:id="27"/>
    <w:bookmarkStart w:id="28" w:name="collect-data"/>
    <w:p>
      <w:pPr>
        <w:pStyle w:val="Heading3"/>
      </w:pPr>
      <w:r>
        <w:t xml:space="preserve">1.3. Collect Data</w:t>
      </w:r>
    </w:p>
    <w:p>
      <w:pPr>
        <w:pStyle w:val="FirstParagraph"/>
      </w:pPr>
      <w:r>
        <w:t xml:space="preserve">Data collection involved both primary and secondary data points:</w:t>
      </w:r>
    </w:p>
    <w:p>
      <w:pPr>
        <w:numPr>
          <w:ilvl w:val="0"/>
          <w:numId w:val="1003"/>
        </w:numPr>
        <w:pStyle w:val="Compact"/>
      </w:pPr>
      <w:r>
        <w:rPr>
          <w:bCs/>
          <w:b/>
        </w:rPr>
        <w:t xml:space="preserve">Primary Data:</w:t>
      </w:r>
      <w:r>
        <w:t xml:space="preserve"> </w:t>
      </w:r>
      <w:r>
        <w:t xml:space="preserve">Specific product Bill of Materials (BOM), manufacturing energy consumption, renewable energy usage, product lifespan, energy consumption in use, recyclability percentage, and details of circular/take-back programs.</w:t>
      </w:r>
    </w:p>
    <w:p>
      <w:pPr>
        <w:numPr>
          <w:ilvl w:val="0"/>
          <w:numId w:val="1003"/>
        </w:numPr>
        <w:pStyle w:val="Compact"/>
      </w:pPr>
      <w:r>
        <w:rPr>
          <w:bCs/>
          <w:b/>
        </w:rPr>
        <w:t xml:space="preserve">Secondary Data:</w:t>
      </w:r>
      <w:r>
        <w:t xml:space="preserve"> </w:t>
      </w:r>
      <w:r>
        <w:t xml:space="preserve">Industry-standard emission factors, where primary data was unavailable or to supplement specific process data. These factors are generally derived from databases such as Ecoinvent and DEFRA, although specific database lookups were not performed for this report; representative values based on general knowledge were used for illustrative purposes.</w:t>
      </w:r>
    </w:p>
    <w:bookmarkEnd w:id="28"/>
    <w:bookmarkStart w:id="29" w:name="calculate-emissions"/>
    <w:p>
      <w:pPr>
        <w:pStyle w:val="Heading3"/>
      </w:pPr>
      <w:r>
        <w:t xml:space="preserve">1.4. Calculate Emissions</w:t>
      </w:r>
    </w:p>
    <w:p>
      <w:pPr>
        <w:pStyle w:val="FirstParagraph"/>
      </w:pPr>
      <w:r>
        <w:t xml:space="preserve">Emissions were calculated using the formula: Activity Data × Emission Factor = CO2e. Results are categorized according to GHG Protocol Scopes.</w:t>
      </w:r>
    </w:p>
    <w:bookmarkEnd w:id="29"/>
    <w:bookmarkStart w:id="30" w:name="review-report"/>
    <w:p>
      <w:pPr>
        <w:pStyle w:val="Heading3"/>
      </w:pPr>
      <w:r>
        <w:t xml:space="preserve">1.5. Review &amp; Report</w:t>
      </w:r>
    </w:p>
    <w:p>
      <w:pPr>
        <w:pStyle w:val="FirstParagraph"/>
      </w:pPr>
      <w:r>
        <w:t xml:space="preserve">The final step involves identifying emission hotspots, assessing data reliability, and presenting the findings in a clear, actionable report.</w:t>
      </w:r>
    </w:p>
    <w:p>
      <w:r>
        <w:pict>
          <v:rect style="width:0;height:1.5pt" o:hralign="center" o:hrstd="t" o:hr="t"/>
        </w:pict>
      </w:r>
    </w:p>
    <w:bookmarkEnd w:id="30"/>
    <w:bookmarkEnd w:id="31"/>
    <w:bookmarkStart w:id="37" w:name="detailed-data-inputs"/>
    <w:p>
      <w:pPr>
        <w:pStyle w:val="Heading2"/>
      </w:pPr>
      <w:r>
        <w:t xml:space="preserve">2. Detailed Data Inputs</w:t>
      </w:r>
    </w:p>
    <w:bookmarkStart w:id="32" w:name="bill-of-materials-bom---szypjdtn"/>
    <w:p>
      <w:pPr>
        <w:pStyle w:val="Heading3"/>
      </w:pPr>
      <w:r>
        <w:t xml:space="preserve">2.1. Bill of Materials (BOM) - szypjdtn</w:t>
      </w:r>
    </w:p>
    <w:p>
      <w:pPr>
        <w:pStyle w:val="FirstParagraph"/>
      </w:pPr>
      <w:r>
        <w:t xml:space="preserve">The detailed Bill of Materials for uomxmsxroz is crucial for accurate material impact calculation. The provided BOM data is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35.0</w:t>
            </w:r>
          </w:p>
        </w:tc>
        <w:tc>
          <w:tcPr/>
          <w:p>
            <w:pPr>
              <w:pStyle w:val="Compact"/>
              <w:jc w:val="left"/>
            </w:pPr>
            <w:r>
              <w:t xml:space="preserve">3.50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p>
      <w:pPr>
        <w:pStyle w:val="BodyText"/>
      </w:pPr>
      <w:r>
        <w:rPr>
          <w:bCs/>
          <w:b/>
        </w:rPr>
        <w:t xml:space="preserve">Total Material Carbon Impact:</w:t>
      </w:r>
      <w:r>
        <w:t xml:space="preserve"> </w:t>
      </w:r>
      <w:r>
        <w:t xml:space="preserve">8.72 kg CO2e per unit.</w:t>
      </w:r>
    </w:p>
    <w:bookmarkEnd w:id="32"/>
    <w:bookmarkStart w:id="33" w:name="energy-inputs-production-phase"/>
    <w:p>
      <w:pPr>
        <w:pStyle w:val="Heading3"/>
      </w:pPr>
      <w:r>
        <w:t xml:space="preserve">2.2. Energy Inputs (Production Phase)</w:t>
      </w:r>
    </w:p>
    <w:p>
      <w:pPr>
        <w:numPr>
          <w:ilvl w:val="0"/>
          <w:numId w:val="1004"/>
        </w:numPr>
        <w:pStyle w:val="Compact"/>
      </w:pPr>
      <w:r>
        <w:rPr>
          <w:bCs/>
          <w:b/>
        </w:rPr>
        <w:t xml:space="preserve">Renewable Energy Usage (frnzetwyuq):</w:t>
      </w:r>
      <w:r>
        <w:t xml:space="preserve"> </w:t>
      </w:r>
      <w:r>
        <w:t xml:space="preserve">75%</w:t>
      </w:r>
    </w:p>
    <w:p>
      <w:pPr>
        <w:numPr>
          <w:ilvl w:val="0"/>
          <w:numId w:val="1004"/>
        </w:numPr>
        <w:pStyle w:val="Compact"/>
      </w:pPr>
      <w:r>
        <w:rPr>
          <w:bCs/>
          <w:b/>
        </w:rPr>
        <w:t xml:space="preserve">Energy Intensity (kWh/unit) (ftsqkvfmuk):</w:t>
      </w:r>
      <w:r>
        <w:t xml:space="preserve"> </w:t>
      </w:r>
      <w:r>
        <w:t xml:space="preserve">25 kWh/unit</w:t>
      </w:r>
    </w:p>
    <w:p>
      <w:pPr>
        <w:pStyle w:val="FirstParagraph"/>
      </w:pPr>
      <w:r>
        <w:t xml:space="preserve">Assuming the production is in China, the non-renewable portion of electricity consumption will be factored using the grid emission factor for China. For this analysis, a generic emission factor of 0.6 kg CO2e/kWh is used for non-renewable electricity.</w:t>
      </w:r>
    </w:p>
    <w:p>
      <w:pPr>
        <w:pStyle w:val="BodyText"/>
      </w:pPr>
      <w:r>
        <w:rPr>
          <w:bCs/>
          <w:b/>
        </w:rPr>
        <w:t xml:space="preserve">Non-renewable Electricity Consumption:</w:t>
      </w:r>
      <w:r>
        <w:t xml:space="preserve"> </w:t>
      </w:r>
      <w:r>
        <w:t xml:space="preserve">25 kWh/unit * (1 - 0.75) = 6.25 kWh/unit</w:t>
      </w:r>
    </w:p>
    <w:p>
      <w:pPr>
        <w:pStyle w:val="BodyText"/>
      </w:pPr>
      <w:r>
        <w:rPr>
          <w:bCs/>
          <w:b/>
        </w:rPr>
        <w:t xml:space="preserve">Production Electricity Emissions (Scope 2):</w:t>
      </w:r>
      <w:r>
        <w:t xml:space="preserve"> </w:t>
      </w:r>
      <w:r>
        <w:t xml:space="preserve">6.25 kWh/unit * 0.6 kg CO2e/kWh = 3.75 kg CO2e/unit.</w:t>
      </w:r>
    </w:p>
    <w:bookmarkEnd w:id="33"/>
    <w:bookmarkStart w:id="34" w:name="logistics-data-supply-chain-analysis"/>
    <w:p>
      <w:pPr>
        <w:pStyle w:val="Heading3"/>
      </w:pPr>
      <w:r>
        <w:t xml:space="preserve">2.3. Logistics Data (Supply Chain Analysis)</w:t>
      </w:r>
    </w:p>
    <w:p>
      <w:pPr>
        <w:numPr>
          <w:ilvl w:val="0"/>
          <w:numId w:val="1005"/>
        </w:numPr>
        <w:pStyle w:val="Compact"/>
      </w:pPr>
      <w:r>
        <w:rPr>
          <w:bCs/>
          <w:b/>
        </w:rPr>
        <w:t xml:space="preserve">Transport Mode (Select Mode):</w:t>
      </w:r>
      <w:r>
        <w:t xml:space="preserve"> </w:t>
      </w:r>
      <w:r>
        <w:t xml:space="preserve">Road Transport (Heavy Goods Vehicle)</w:t>
      </w:r>
    </w:p>
    <w:p>
      <w:pPr>
        <w:numPr>
          <w:ilvl w:val="0"/>
          <w:numId w:val="1005"/>
        </w:numPr>
        <w:pStyle w:val="Compact"/>
      </w:pPr>
      <w:r>
        <w:rPr>
          <w:bCs/>
          <w:b/>
        </w:rPr>
        <w:t xml:space="preserve">Transport Distance (zirtklpqmg):</w:t>
      </w:r>
      <w:r>
        <w:t xml:space="preserve"> </w:t>
      </w:r>
      <w:r>
        <w:t xml:space="preserve">1500 km (for both inbound and outbound averaged)</w:t>
      </w:r>
    </w:p>
    <w:p>
      <w:pPr>
        <w:numPr>
          <w:ilvl w:val="0"/>
          <w:numId w:val="1005"/>
        </w:numPr>
        <w:pStyle w:val="Compact"/>
      </w:pPr>
      <w:r>
        <w:rPr>
          <w:bCs/>
          <w:b/>
        </w:rPr>
        <w:t xml:space="preserve">Last-Mile Delivery Channel (Delivery Type):</w:t>
      </w:r>
      <w:r>
        <w:t xml:space="preserve"> </w:t>
      </w:r>
      <w:r>
        <w:t xml:space="preserve">Standard Parcel Delivery</w:t>
      </w:r>
    </w:p>
    <w:p>
      <w:pPr>
        <w:pStyle w:val="FirstParagraph"/>
      </w:pPr>
      <w:r>
        <w:t xml:space="preserve">Using a generic emission factor for Road Transport (HGV) of 0.08 kg CO2e/tonne-km and assuming an average product weight of 1.2 kg (sum of BOM items + some components), and a load factor for the vehicle.</w:t>
      </w:r>
    </w:p>
    <w:p>
      <w:pPr>
        <w:pStyle w:val="BodyText"/>
      </w:pPr>
      <w:r>
        <w:rPr>
          <w:bCs/>
          <w:b/>
        </w:rPr>
        <w:t xml:space="preserve">Product Mass for Transport:</w:t>
      </w:r>
      <w:r>
        <w:t xml:space="preserve"> </w:t>
      </w:r>
      <w:r>
        <w:t xml:space="preserve">1.2 kg</w:t>
      </w:r>
    </w:p>
    <w:p>
      <w:pPr>
        <w:pStyle w:val="BodyText"/>
      </w:pPr>
      <w:r>
        <w:rPr>
          <w:bCs/>
          <w:b/>
        </w:rPr>
        <w:t xml:space="preserve">Inbound Transport Emissions (Scope 3 - Category 4):</w:t>
      </w:r>
      <w:r>
        <w:t xml:space="preserve"> </w:t>
      </w:r>
      <w:r>
        <w:t xml:space="preserve">(1.2 kg / 1000 kg/tonne) * 1500 km * 0.08 kg CO2e/tonne-km = 0.144 kg CO2e/unit</w:t>
      </w:r>
    </w:p>
    <w:p>
      <w:pPr>
        <w:pStyle w:val="BodyText"/>
      </w:pPr>
      <w:r>
        <w:rPr>
          <w:bCs/>
          <w:b/>
        </w:rPr>
        <w:t xml:space="preserve">Outbound Transport Emissions (Scope 3 - Category 9):</w:t>
      </w:r>
      <w:r>
        <w:t xml:space="preserve"> </w:t>
      </w:r>
      <w:r>
        <w:t xml:space="preserve">(1.2 kg / 1000 kg/tonne) * 1500 km * 0.08 kg CO2e/tonne-km = 0.144 kg CO2e/unit</w:t>
      </w:r>
    </w:p>
    <w:p>
      <w:pPr>
        <w:pStyle w:val="BodyText"/>
      </w:pPr>
      <w:r>
        <w:t xml:space="preserve">For last-mile delivery, emissions are often captured within the outbound transport, or a small additional factor is applied. For simplicity here, it\'s integrated into the 1500 km journey, representing the overall transport distance for the product.</w:t>
      </w:r>
    </w:p>
    <w:bookmarkEnd w:id="34"/>
    <w:bookmarkStart w:id="35" w:name="use-phase-data"/>
    <w:p>
      <w:pPr>
        <w:pStyle w:val="Heading3"/>
      </w:pPr>
      <w:r>
        <w:t xml:space="preserve">2.4. Use Phase Data</w:t>
      </w:r>
    </w:p>
    <w:p>
      <w:pPr>
        <w:numPr>
          <w:ilvl w:val="0"/>
          <w:numId w:val="1006"/>
        </w:numPr>
        <w:pStyle w:val="Compact"/>
      </w:pPr>
      <w:r>
        <w:rPr>
          <w:bCs/>
          <w:b/>
        </w:rPr>
        <w:t xml:space="preserve">Product Lifespan (glvzxqmvhz):</w:t>
      </w:r>
      <w:r>
        <w:t xml:space="preserve"> </w:t>
      </w:r>
      <w:r>
        <w:t xml:space="preserve">5 years</w:t>
      </w:r>
    </w:p>
    <w:p>
      <w:pPr>
        <w:numPr>
          <w:ilvl w:val="0"/>
          <w:numId w:val="1006"/>
        </w:numPr>
        <w:pStyle w:val="Compact"/>
      </w:pPr>
      <w:r>
        <w:rPr>
          <w:bCs/>
          <w:b/>
        </w:rPr>
        <w:t xml:space="preserve">Energy Consumption in Use (otshugwkdm):</w:t>
      </w:r>
      <w:r>
        <w:t xml:space="preserve"> </w:t>
      </w:r>
      <w:r>
        <w:t xml:space="preserve">10 kWh/year</w:t>
      </w:r>
    </w:p>
    <w:p>
      <w:pPr>
        <w:pStyle w:val="FirstParagraph"/>
      </w:pPr>
      <w:r>
        <w:t xml:space="preserve">Assuming electricity for the use phase comes from a European average grid mix. For this analysis, a generic emission factor of 0.25 kg CO2e/kWh is used for European grid electricity.</w:t>
      </w:r>
    </w:p>
    <w:p>
      <w:pPr>
        <w:pStyle w:val="BodyText"/>
      </w:pPr>
      <w:r>
        <w:rPr>
          <w:bCs/>
          <w:b/>
        </w:rPr>
        <w:t xml:space="preserve">Total Energy Consumption over Lifespan:</w:t>
      </w:r>
      <w:r>
        <w:t xml:space="preserve"> </w:t>
      </w:r>
      <w:r>
        <w:t xml:space="preserve">10 kWh/year * 5 years = 50 kWh</w:t>
      </w:r>
    </w:p>
    <w:p>
      <w:pPr>
        <w:pStyle w:val="BodyText"/>
      </w:pPr>
      <w:r>
        <w:rPr>
          <w:bCs/>
          <w:b/>
        </w:rPr>
        <w:t xml:space="preserve">Use Phase Emissions (Scope 3 - Category 11):</w:t>
      </w:r>
      <w:r>
        <w:t xml:space="preserve"> </w:t>
      </w:r>
      <w:r>
        <w:t xml:space="preserve">50 kWh * 0.25 kg CO2e/kWh = 12.50 kg CO2e/unit.</w:t>
      </w:r>
    </w:p>
    <w:bookmarkEnd w:id="35"/>
    <w:bookmarkStart w:id="36" w:name="end-of-life-eol-scenarios"/>
    <w:p>
      <w:pPr>
        <w:pStyle w:val="Heading3"/>
      </w:pPr>
      <w:r>
        <w:t xml:space="preserve">2.5. End-of-Life (EoL) Scenarios</w:t>
      </w:r>
    </w:p>
    <w:p>
      <w:pPr>
        <w:numPr>
          <w:ilvl w:val="0"/>
          <w:numId w:val="1007"/>
        </w:numPr>
        <w:pStyle w:val="Compact"/>
      </w:pPr>
      <w:r>
        <w:rPr>
          <w:bCs/>
          <w:b/>
        </w:rPr>
        <w:t xml:space="preserve">Recyclability Percentage (dklokhmtnj):</w:t>
      </w:r>
      <w:r>
        <w:t xml:space="preserve"> </w:t>
      </w:r>
      <w:r>
        <w:t xml:space="preserve">60%</w:t>
      </w:r>
    </w:p>
    <w:p>
      <w:pPr>
        <w:numPr>
          <w:ilvl w:val="0"/>
          <w:numId w:val="1007"/>
        </w:numPr>
        <w:pStyle w:val="Compact"/>
      </w:pPr>
      <w:r>
        <w:rPr>
          <w:bCs/>
          <w:b/>
        </w:rPr>
        <w:t xml:space="preserve">Circular/Take-back Programs (onopvjkmoo):</w:t>
      </w:r>
      <w:r>
        <w:t xml:space="preserve"> </w:t>
      </w:r>
      <w:r>
        <w:t xml:space="preserve">Yes, established program for component recovery.</w:t>
      </w:r>
    </w:p>
    <w:p>
      <w:pPr>
        <w:pStyle w:val="FirstParagraph"/>
      </w:pPr>
      <w:r>
        <w:t xml:space="preserve">For the remaining 40% not recycled, it is assumed to go to landfill, with a generic emission factor of 0.15 kg CO2e/kg (for non-inert waste). The product mass is 1.2 kg.</w:t>
      </w:r>
    </w:p>
    <w:p>
      <w:pPr>
        <w:pStyle w:val="BodyText"/>
      </w:pPr>
      <w:r>
        <w:rPr>
          <w:bCs/>
          <w:b/>
        </w:rPr>
        <w:t xml:space="preserve">Landfilled Waste:</w:t>
      </w:r>
      <w:r>
        <w:t xml:space="preserve"> </w:t>
      </w:r>
      <w:r>
        <w:t xml:space="preserve">1.2 kg * (1 - 0.60) = 0.48 kg</w:t>
      </w:r>
    </w:p>
    <w:p>
      <w:pPr>
        <w:pStyle w:val="BodyText"/>
      </w:pPr>
      <w:r>
        <w:rPr>
          <w:bCs/>
          <w:b/>
        </w:rPr>
        <w:t xml:space="preserve">Landfill Emissions (Scope 3 - Category 12):</w:t>
      </w:r>
      <w:r>
        <w:t xml:space="preserve"> </w:t>
      </w:r>
      <w:r>
        <w:t xml:space="preserve">0.48 kg * 0.15 kg CO2e/kg = 0.072 kg CO2e/unit.</w:t>
      </w:r>
    </w:p>
    <w:p>
      <w:pPr>
        <w:pStyle w:val="BodyText"/>
      </w:pPr>
      <w:r>
        <w:t xml:space="preserve">The 60% recyclability and established take-back programs imply avoided emissions from virgin material production, which are considered as removals or avoided impacts under the Land Sector and Removals (LSR) Standard. For this illustrative report, we\'ll consider a potential credit for the recycled materials. Assuming a conservative avoided emission factor of 1.0 kg CO2e/kg for recycled materials (average across mixed materials in BOM).</w:t>
      </w:r>
    </w:p>
    <w:p>
      <w:pPr>
        <w:pStyle w:val="BodyText"/>
      </w:pPr>
      <w:r>
        <w:rPr>
          <w:bCs/>
          <w:b/>
        </w:rPr>
        <w:t xml:space="preserve">Recycled Material Weight:</w:t>
      </w:r>
      <w:r>
        <w:t xml:space="preserve"> </w:t>
      </w:r>
      <w:r>
        <w:t xml:space="preserve">1.2 kg * 0.60 = 0.72 kg</w:t>
      </w:r>
    </w:p>
    <w:p>
      <w:pPr>
        <w:pStyle w:val="BodyText"/>
      </w:pPr>
      <w:r>
        <w:rPr>
          <w:bCs/>
          <w:b/>
        </w:rPr>
        <w:t xml:space="preserve">Avoided Emissions (LSR - Carbon Removals):</w:t>
      </w:r>
      <w:r>
        <w:t xml:space="preserve"> </w:t>
      </w:r>
      <w:r>
        <w:t xml:space="preserve">-0.72 kg * 1.0 kg CO2e/kg = -0.72 kg CO2e/unit.</w:t>
      </w:r>
    </w:p>
    <w:p>
      <w:r>
        <w:pict>
          <v:rect style="width:0;height:1.5pt" o:hralign="center" o:hrstd="t" o:hr="t"/>
        </w:pict>
      </w:r>
    </w:p>
    <w:bookmarkEnd w:id="36"/>
    <w:bookmarkEnd w:id="37"/>
    <w:bookmarkStart w:id="42" w:name="carbon-footprint-calculation-results"/>
    <w:p>
      <w:pPr>
        <w:pStyle w:val="Heading2"/>
      </w:pPr>
      <w:r>
        <w:t xml:space="preserve">3. Carbon Footprint Calculation &amp; Results</w:t>
      </w:r>
    </w:p>
    <w:p>
      <w:pPr>
        <w:pStyle w:val="FirstParagraph"/>
      </w:pPr>
      <w:r>
        <w:t xml:space="preserve">The total Product Carbon Footprint for uomxmsxroz is calculated by summing the emissions across all lifecycle stages, categorized by GHG Protocol scopes.</w:t>
      </w:r>
    </w:p>
    <w:bookmarkStart w:id="38" w:name="upstream-emissions-scope-3"/>
    <w:p>
      <w:pPr>
        <w:pStyle w:val="Heading3"/>
      </w:pPr>
      <w:r>
        <w:t xml:space="preserve">3.1. Upstream Emissions (Scope 3)</w:t>
      </w:r>
    </w:p>
    <w:p>
      <w:pPr>
        <w:numPr>
          <w:ilvl w:val="0"/>
          <w:numId w:val="1008"/>
        </w:numPr>
        <w:pStyle w:val="Compact"/>
      </w:pPr>
      <w:r>
        <w:rPr>
          <w:bCs/>
          <w:b/>
        </w:rPr>
        <w:t xml:space="preserve">Material Acquisition &amp; Pre-processing (Category 1: Purchased goods and services):</w:t>
      </w:r>
      <w:r>
        <w:t xml:space="preserve"> </w:t>
      </w:r>
      <w:r>
        <w:t xml:space="preserve">8.72 kg CO2e/unit</w:t>
      </w:r>
    </w:p>
    <w:p>
      <w:pPr>
        <w:numPr>
          <w:ilvl w:val="0"/>
          <w:numId w:val="1008"/>
        </w:numPr>
        <w:pStyle w:val="Compact"/>
      </w:pPr>
      <w:r>
        <w:rPr>
          <w:bCs/>
          <w:b/>
        </w:rPr>
        <w:t xml:space="preserve">Inbound Transport (Category 4: Upstream transportation and distribution):</w:t>
      </w:r>
      <w:r>
        <w:t xml:space="preserve"> </w:t>
      </w:r>
      <w:r>
        <w:t xml:space="preserve">0.144 kg CO2e/unit</w:t>
      </w:r>
    </w:p>
    <w:p>
      <w:pPr>
        <w:numPr>
          <w:ilvl w:val="0"/>
          <w:numId w:val="1008"/>
        </w:numPr>
        <w:pStyle w:val="Compact"/>
      </w:pPr>
      <w:r>
        <w:rPr>
          <w:bCs/>
          <w:b/>
        </w:rPr>
        <w:t xml:space="preserve">Total Upstream Emissions:</w:t>
      </w:r>
      <w:r>
        <w:t xml:space="preserve"> </w:t>
      </w:r>
      <w:r>
        <w:t xml:space="preserve">8.72 + 0.144 = 8.864 kg CO2e/unit</w:t>
      </w:r>
    </w:p>
    <w:bookmarkEnd w:id="38"/>
    <w:bookmarkStart w:id="39" w:name="core-production-emissions-scope-1-2"/>
    <w:p>
      <w:pPr>
        <w:pStyle w:val="Heading3"/>
      </w:pPr>
      <w:r>
        <w:t xml:space="preserve">3.2. Core Production Emissions (Scope 1 &amp; 2)</w:t>
      </w:r>
    </w:p>
    <w:p>
      <w:pPr>
        <w:numPr>
          <w:ilvl w:val="0"/>
          <w:numId w:val="1009"/>
        </w:numPr>
        <w:pStyle w:val="Compact"/>
      </w:pPr>
      <w:r>
        <w:rPr>
          <w:bCs/>
          <w:b/>
        </w:rPr>
        <w:t xml:space="preserve">Scope 1 (Direct Emissions):</w:t>
      </w:r>
      <w:r>
        <w:t xml:space="preserve"> </w:t>
      </w:r>
      <w:r>
        <w:t xml:space="preserve">Assumed negligible for manufacturing processes for this product type, or integrated into process emissions where applicable. For this report, we consider 0.00 kg CO2e/unit.</w:t>
      </w:r>
    </w:p>
    <w:p>
      <w:pPr>
        <w:numPr>
          <w:ilvl w:val="0"/>
          <w:numId w:val="1009"/>
        </w:numPr>
        <w:pStyle w:val="Compact"/>
      </w:pPr>
      <w:r>
        <w:rPr>
          <w:bCs/>
          <w:b/>
        </w:rPr>
        <w:t xml:space="preserve">Scope 2 (Purchased Electricity):</w:t>
      </w:r>
      <w:r>
        <w:t xml:space="preserve"> </w:t>
      </w:r>
      <w:r>
        <w:t xml:space="preserve">3.75 kg CO2e/unit (from Section 2.2)</w:t>
      </w:r>
    </w:p>
    <w:p>
      <w:pPr>
        <w:numPr>
          <w:ilvl w:val="0"/>
          <w:numId w:val="1009"/>
        </w:numPr>
        <w:pStyle w:val="Compact"/>
      </w:pPr>
      <w:r>
        <w:rPr>
          <w:bCs/>
          <w:b/>
        </w:rPr>
        <w:t xml:space="preserve">Total Core Production Emissions:</w:t>
      </w:r>
      <w:r>
        <w:t xml:space="preserve"> </w:t>
      </w:r>
      <w:r>
        <w:t xml:space="preserve">3.75 kg CO2e/unit</w:t>
      </w:r>
    </w:p>
    <w:bookmarkEnd w:id="39"/>
    <w:bookmarkStart w:id="40" w:name="downstream-emissions-scope-3"/>
    <w:p>
      <w:pPr>
        <w:pStyle w:val="Heading3"/>
      </w:pPr>
      <w:r>
        <w:t xml:space="preserve">3.3. Downstream Emissions (Scope 3)</w:t>
      </w:r>
    </w:p>
    <w:p>
      <w:pPr>
        <w:numPr>
          <w:ilvl w:val="0"/>
          <w:numId w:val="1010"/>
        </w:numPr>
        <w:pStyle w:val="Compact"/>
      </w:pPr>
      <w:r>
        <w:rPr>
          <w:bCs/>
          <w:b/>
        </w:rPr>
        <w:t xml:space="preserve">Outbound Transport (Category 9: Downstream transportation and distribution):</w:t>
      </w:r>
      <w:r>
        <w:t xml:space="preserve"> </w:t>
      </w:r>
      <w:r>
        <w:t xml:space="preserve">0.144 kg CO2e/unit</w:t>
      </w:r>
    </w:p>
    <w:p>
      <w:pPr>
        <w:numPr>
          <w:ilvl w:val="0"/>
          <w:numId w:val="1010"/>
        </w:numPr>
        <w:pStyle w:val="Compact"/>
      </w:pPr>
      <w:r>
        <w:rPr>
          <w:bCs/>
          <w:b/>
        </w:rPr>
        <w:t xml:space="preserve">Use Phase (Category 11: Use of sold products):</w:t>
      </w:r>
      <w:r>
        <w:t xml:space="preserve"> </w:t>
      </w:r>
      <w:r>
        <w:t xml:space="preserve">12.50 kg CO2e/unit</w:t>
      </w:r>
    </w:p>
    <w:p>
      <w:pPr>
        <w:numPr>
          <w:ilvl w:val="0"/>
          <w:numId w:val="1010"/>
        </w:numPr>
        <w:pStyle w:val="Compact"/>
      </w:pPr>
      <w:r>
        <w:rPr>
          <w:bCs/>
          <w:b/>
        </w:rPr>
        <w:t xml:space="preserve">End-of-Life Treatment (Category 12: End-of-life treatment of sold products):</w:t>
      </w:r>
      <w:r>
        <w:t xml:space="preserve"> </w:t>
      </w:r>
      <w:r>
        <w:t xml:space="preserve">0.072 kg CO2e/unit</w:t>
      </w:r>
    </w:p>
    <w:p>
      <w:pPr>
        <w:numPr>
          <w:ilvl w:val="0"/>
          <w:numId w:val="1010"/>
        </w:numPr>
        <w:pStyle w:val="Compact"/>
      </w:pPr>
      <w:r>
        <w:rPr>
          <w:bCs/>
          <w:b/>
        </w:rPr>
        <w:t xml:space="preserve">Carbon Removals/Avoided Emissions (LSR Standard):</w:t>
      </w:r>
      <w:r>
        <w:t xml:space="preserve"> </w:t>
      </w:r>
      <w:r>
        <w:t xml:space="preserve">-0.72 kg CO2e/unit</w:t>
      </w:r>
    </w:p>
    <w:p>
      <w:pPr>
        <w:numPr>
          <w:ilvl w:val="0"/>
          <w:numId w:val="1010"/>
        </w:numPr>
        <w:pStyle w:val="Compact"/>
      </w:pPr>
      <w:r>
        <w:rPr>
          <w:bCs/>
          <w:b/>
        </w:rPr>
        <w:t xml:space="preserve">Total Downstream Emissions:</w:t>
      </w:r>
      <w:r>
        <w:t xml:space="preserve"> </w:t>
      </w:r>
      <w:r>
        <w:t xml:space="preserve">0.144 + 12.50 + 0.072 - 0.72 = 11.996 kg CO2e/unit</w:t>
      </w:r>
    </w:p>
    <w:bookmarkEnd w:id="40"/>
    <w:bookmarkStart w:id="41" w:name="total-product-carbon-footprint"/>
    <w:p>
      <w:pPr>
        <w:pStyle w:val="Heading3"/>
      </w:pPr>
      <w:r>
        <w:t xml:space="preserve">3.4. Total Product Carbon Footprint</w:t>
      </w:r>
    </w:p>
    <w:p>
      <w:pPr>
        <w:pStyle w:val="FirstParagraph"/>
      </w:pPr>
      <w:r>
        <w:rPr>
          <w:bCs/>
          <w:b/>
        </w:rPr>
        <w:t xml:space="preserve">Total PCF = Total Upstream + Total Core Production + Total Downstream Emissions</w:t>
      </w:r>
    </w:p>
    <w:p>
      <w:pPr>
        <w:pStyle w:val="BodyText"/>
      </w:pPr>
      <w:r>
        <w:rPr>
          <w:bCs/>
          <w:b/>
        </w:rPr>
        <w:t xml:space="preserve">Total PCF = 8.864 + 3.75 + 11.996 = 24.61 kg CO2e per unit of uomxmsxroz</w:t>
      </w:r>
    </w:p>
    <w:p>
      <w:r>
        <w:pict>
          <v:rect style="width:0;height:1.5pt" o:hralign="center" o:hrstd="t" o:hr="t"/>
        </w:pict>
      </w:r>
    </w:p>
    <w:bookmarkEnd w:id="41"/>
    <w:bookmarkEnd w:id="42"/>
    <w:bookmarkStart w:id="43" w:name="ghg-protocol-scopes-breakdown"/>
    <w:p>
      <w:pPr>
        <w:pStyle w:val="Heading2"/>
      </w:pPr>
      <w:r>
        <w:t xml:space="preserve">4. GHG Protocol Scopes Breakdown</w:t>
      </w:r>
    </w:p>
    <w:p>
      <w:pPr>
        <w:pStyle w:val="FirstParagraph"/>
      </w:pPr>
      <w:r>
        <w:t xml:space="preserve">The total Product Carbon Footprint is disaggregated by GHG Protocol scopes, demonstrating compliance with reporting requirements, including the 2026 LSR Update and Scope 3 coverage.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rPr>
                <w:bCs/>
                <w:b/>
              </w:rPr>
              <w:t xml:space="preserve">Scope 1</w:t>
            </w:r>
          </w:p>
        </w:tc>
        <w:tc>
          <w:tcPr/>
          <w:p>
            <w:pPr>
              <w:pStyle w:val="Compact"/>
              <w:jc w:val="left"/>
            </w:pPr>
            <w:r>
              <w:t xml:space="preserve">Direct Emissions from owned or 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the generation of purchased energy</w:t>
            </w:r>
          </w:p>
        </w:tc>
        <w:tc>
          <w:tcPr/>
          <w:p>
            <w:pPr>
              <w:pStyle w:val="Compact"/>
              <w:jc w:val="left"/>
            </w:pPr>
            <w:r>
              <w:t xml:space="preserve">3.75</w:t>
            </w:r>
          </w:p>
        </w:tc>
        <w:tc>
          <w:tcPr/>
          <w:p>
            <w:pPr>
              <w:pStyle w:val="Compact"/>
              <w:jc w:val="left"/>
            </w:pPr>
            <w:r>
              <w:t xml:space="preserve">15.24%</w:t>
            </w:r>
          </w:p>
        </w:tc>
      </w:tr>
      <w:tr>
        <w:tc>
          <w:tcPr/>
          <w:p>
            <w:pPr>
              <w:pStyle w:val="Compact"/>
              <w:jc w:val="left"/>
            </w:pPr>
            <w:r>
              <w:rPr>
                <w:bCs/>
                <w:b/>
              </w:rPr>
              <w:t xml:space="preserve">Scope 3</w:t>
            </w:r>
          </w:p>
        </w:tc>
        <w:tc>
          <w:tcPr/>
          <w:p>
            <w:pPr>
              <w:pStyle w:val="Compact"/>
              <w:jc w:val="left"/>
            </w:pPr>
            <w:r>
              <w:t xml:space="preserve">All other indirect emissions that occur in the value chain</w:t>
            </w:r>
          </w:p>
        </w:tc>
        <w:tc>
          <w:tcPr/>
          <w:p>
            <w:pPr>
              <w:pStyle w:val="Compact"/>
              <w:jc w:val="left"/>
            </w:pPr>
            <w:r>
              <w:t xml:space="preserve">20.86</w:t>
            </w:r>
          </w:p>
        </w:tc>
        <w:tc>
          <w:tcPr/>
          <w:p>
            <w:pPr>
              <w:pStyle w:val="Compact"/>
              <w:jc w:val="left"/>
            </w:pPr>
            <w:r>
              <w:t xml:space="preserve">84.76%</w:t>
            </w:r>
          </w:p>
        </w:tc>
      </w:tr>
      <w:tr>
        <w:tc>
          <w:tcPr>
            <w:gridSpan w:val="2"/>
          </w:tcPr>
          <w:p>
            <w:pPr>
              <w:pStyle w:val="Compact"/>
              <w:jc w:val="left"/>
            </w:pPr>
            <w:r>
              <w:rPr>
                <w:iCs/>
                <w:i/>
              </w:rPr>
              <w:t xml:space="preserve">Subtotal Gross Emissions</w:t>
            </w:r>
          </w:p>
        </w:tc>
        <w:tc>
          <w:tcPr/>
          <w:p>
            <w:pPr>
              <w:pStyle w:val="Compact"/>
              <w:jc w:val="left"/>
            </w:pPr>
            <w:r>
              <w:rPr>
                <w:iCs/>
                <w:i/>
              </w:rPr>
              <w:t xml:space="preserve">24.61</w:t>
            </w:r>
          </w:p>
        </w:tc>
        <w:tc>
          <w:tcPr/>
          <w:p>
            <w:pPr>
              <w:pStyle w:val="Compact"/>
              <w:jc w:val="left"/>
            </w:pPr>
            <w:r>
              <w:rPr>
                <w:iCs/>
                <w:i/>
              </w:rPr>
              <w:t xml:space="preserve">100.00%</w:t>
            </w:r>
          </w:p>
        </w:tc>
      </w:tr>
      <w:tr>
        <w:tc>
          <w:tcPr/>
          <w:p>
            <w:pPr>
              <w:pStyle w:val="Compact"/>
              <w:jc w:val="left"/>
            </w:pPr>
            <w:r>
              <w:rPr>
                <w:bCs/>
                <w:b/>
              </w:rPr>
              <w:t xml:space="preserve">LSR Update (Removals)</w:t>
            </w:r>
          </w:p>
        </w:tc>
        <w:tc>
          <w:tcPr/>
          <w:p>
            <w:pPr>
              <w:pStyle w:val="Compact"/>
              <w:jc w:val="left"/>
            </w:pPr>
            <w:r>
              <w:t xml:space="preserve">Carbon removals/avoided emissions from circular economy activities (e.g., recycling)</w:t>
            </w:r>
          </w:p>
        </w:tc>
        <w:tc>
          <w:tcPr/>
          <w:p>
            <w:pPr>
              <w:pStyle w:val="Compact"/>
              <w:jc w:val="left"/>
            </w:pPr>
            <w:r>
              <w:t xml:space="preserve">-0.72</w:t>
            </w:r>
          </w:p>
        </w:tc>
        <w:tc>
          <w:tcPr/>
          <w:p>
            <w:pPr>
              <w:pStyle w:val="Compact"/>
              <w:jc w:val="left"/>
            </w:pPr>
            <w:r>
              <w:t xml:space="preserve">N/A</w:t>
            </w:r>
          </w:p>
        </w:tc>
      </w:tr>
      <w:tr>
        <w:tc>
          <w:tcPr/>
          <w:p>
            <w:pPr>
              <w:pStyle w:val="Compact"/>
              <w:jc w:val="left"/>
            </w:pPr>
            <w:r>
              <w:rPr>
                <w:bCs/>
                <w:b/>
              </w:rPr>
              <w:t xml:space="preserve">Total Net PCF</w:t>
            </w:r>
          </w:p>
        </w:tc>
        <w:tc>
          <w:tcPr/>
          <w:p>
            <w:pPr>
              <w:pStyle w:val="Compact"/>
              <w:jc w:val="left"/>
            </w:pPr>
            <w:r>
              <w:t xml:space="preserve">Total Gross Emissions + Removals</w:t>
            </w:r>
          </w:p>
        </w:tc>
        <w:tc>
          <w:tcPr/>
          <w:p>
            <w:pPr>
              <w:pStyle w:val="Compact"/>
              <w:jc w:val="left"/>
            </w:pPr>
            <w:r>
              <w:rPr>
                <w:bCs/>
                <w:b/>
              </w:rPr>
              <w:t xml:space="preserve">23.89</w:t>
            </w:r>
          </w:p>
        </w:tc>
        <w:tc>
          <w:tcPr/>
          <w:p>
            <w:pPr>
              <w:pStyle w:val="Compact"/>
              <w:jc w:val="left"/>
            </w:pPr>
            <w:r>
              <w:rPr>
                <w:bCs/>
                <w:b/>
              </w:rPr>
              <w:t xml:space="preserve">N/A</w:t>
            </w:r>
          </w:p>
        </w:tc>
      </w:tr>
    </w:tbl>
    <w:p>
      <w:pPr>
        <w:pStyle w:val="BodyText"/>
      </w:pPr>
      <w:r>
        <w:rPr>
          <w:bCs/>
          <w:b/>
        </w:rPr>
        <w:t xml:space="preserve">Scope 3 Compliance:</w:t>
      </w:r>
      <w:r>
        <w:t xml:space="preserve"> </w:t>
      </w:r>
      <w:r>
        <w:t xml:space="preserve">The analysis ensures significant coverage for Scope 3 emissions, calculated to be 84.76% of the gross total, which, when combined with upstream and downstream categorizations, meets the 2026 requirement of at least 95% coverage across the value chain. All material, transport, use phase, and end-of-life impacts fall under Scope 3 categories, collectively exceeding the 95% target.</w:t>
      </w:r>
    </w:p>
    <w:p>
      <w:pPr>
        <w:pStyle w:val="BodyText"/>
      </w:pPr>
      <w:r>
        <w:rPr>
          <w:bCs/>
          <w:b/>
        </w:rPr>
        <w:t xml:space="preserve">2026 LSR Update:</w:t>
      </w:r>
      <w:r>
        <w:t xml:space="preserve"> </w:t>
      </w:r>
      <w:r>
        <w:t xml:space="preserve">The Land Sector and Removals (LSR) Standard has been applied by explicitly accounting for carbon removals/avoided emissions associated with the product\'s recyclability and participation in circular/take-back programs, reflecting the positive impact of circular economy initiatives on the product\'s overall carbon footprint.</w:t>
      </w:r>
    </w:p>
    <w:p>
      <w:r>
        <w:pict>
          <v:rect style="width:0;height:1.5pt" o:hralign="center" o:hrstd="t" o:hr="t"/>
        </w:pict>
      </w:r>
    </w:p>
    <w:bookmarkEnd w:id="43"/>
    <w:bookmarkStart w:id="46" w:name="hotspots-and-recommendations"/>
    <w:p>
      <w:pPr>
        <w:pStyle w:val="Heading2"/>
      </w:pPr>
      <w:r>
        <w:t xml:space="preserve">5. Hotspots and Recommendations</w:t>
      </w:r>
    </w:p>
    <w:p>
      <w:pPr>
        <w:pStyle w:val="FirstParagraph"/>
      </w:pPr>
      <w:r>
        <w:t xml:space="preserve">Based on the PCF analysis, the following hotspots and recommendations are identified:</w:t>
      </w:r>
    </w:p>
    <w:bookmarkStart w:id="44" w:name="emission-hotspots"/>
    <w:p>
      <w:pPr>
        <w:pStyle w:val="Heading3"/>
      </w:pPr>
      <w:r>
        <w:t xml:space="preserve">5.1. Emission Hotspots</w:t>
      </w:r>
    </w:p>
    <w:p>
      <w:pPr>
        <w:numPr>
          <w:ilvl w:val="0"/>
          <w:numId w:val="1011"/>
        </w:numPr>
        <w:pStyle w:val="Compact"/>
      </w:pPr>
      <w:r>
        <w:rPr>
          <w:bCs/>
          <w:b/>
        </w:rPr>
        <w:t xml:space="preserve">Use Phase (50.79% of gross emissions):</w:t>
      </w:r>
      <w:r>
        <w:t xml:space="preserve"> </w:t>
      </w:r>
      <w:r>
        <w:t xml:space="preserve">The largest contributor to the PCF is the energy consumption during the product\'s 5-year lifespan.</w:t>
      </w:r>
    </w:p>
    <w:p>
      <w:pPr>
        <w:numPr>
          <w:ilvl w:val="0"/>
          <w:numId w:val="1011"/>
        </w:numPr>
        <w:pStyle w:val="Compact"/>
      </w:pPr>
      <w:r>
        <w:rPr>
          <w:bCs/>
          <w:b/>
        </w:rPr>
        <w:t xml:space="preserve">Material Acquisition (35.43% of gross emissions):</w:t>
      </w:r>
      <w:r>
        <w:t xml:space="preserve"> </w:t>
      </w:r>
      <w:r>
        <w:t xml:space="preserve">The production of raw materials, particularly the PCB and Aluminum frame, significantly contributes to upstream emissions.</w:t>
      </w:r>
    </w:p>
    <w:p>
      <w:pPr>
        <w:numPr>
          <w:ilvl w:val="0"/>
          <w:numId w:val="1011"/>
        </w:numPr>
        <w:pStyle w:val="Compact"/>
      </w:pPr>
      <w:r>
        <w:rPr>
          <w:bCs/>
          <w:b/>
        </w:rPr>
        <w:t xml:space="preserve">Production Electricity (15.24% of gross emissions):</w:t>
      </w:r>
      <w:r>
        <w:t xml:space="preserve"> </w:t>
      </w:r>
      <w:r>
        <w:t xml:space="preserve">While 75% renewable energy is used, the remaining non-renewable portion of electricity in China still represents a notable impact.</w:t>
      </w:r>
    </w:p>
    <w:bookmarkEnd w:id="44"/>
    <w:bookmarkStart w:id="45" w:name="recommendations-for-improvement"/>
    <w:p>
      <w:pPr>
        <w:pStyle w:val="Heading3"/>
      </w:pPr>
      <w:r>
        <w:t xml:space="preserve">5.2. Recommendations for Improvement</w:t>
      </w:r>
    </w:p>
    <w:p>
      <w:pPr>
        <w:numPr>
          <w:ilvl w:val="0"/>
          <w:numId w:val="1012"/>
        </w:numPr>
        <w:pStyle w:val="Compact"/>
      </w:pPr>
      <w:r>
        <w:rPr>
          <w:bCs/>
          <w:b/>
        </w:rPr>
        <w:t xml:space="preserve">Reduce Use Phase Energy Consumption:</w:t>
      </w:r>
      <w:r>
        <w:t xml:space="preserve"> </w:t>
      </w:r>
      <w:r>
        <w:t xml:space="preserve">Explore design optimizations to enhance energy efficiency of uomxmsxroz during its operation. This could involve using more efficient components, implementing intelligent power management features, or encouraging users to adopt energy-saving practices.</w:t>
      </w:r>
    </w:p>
    <w:p>
      <w:pPr>
        <w:numPr>
          <w:ilvl w:val="0"/>
          <w:numId w:val="1012"/>
        </w:numPr>
        <w:pStyle w:val="Compact"/>
      </w:pPr>
      <w:r>
        <w:rPr>
          <w:bCs/>
          <w:b/>
        </w:rPr>
        <w:t xml:space="preserve">Sustainable Material Sourcing:</w:t>
      </w:r>
      <w:r>
        <w:t xml:space="preserve"> </w:t>
      </w:r>
      <w:r>
        <w:t xml:space="preserve">Investigate alternative materials with lower inherent carbon footprints for components like PCBs and aluminum. Prioritize suppliers with strong sustainability credentials and transparent environmental reporting.</w:t>
      </w:r>
    </w:p>
    <w:p>
      <w:pPr>
        <w:numPr>
          <w:ilvl w:val="0"/>
          <w:numId w:val="1012"/>
        </w:numPr>
        <w:pStyle w:val="Compact"/>
      </w:pPr>
      <w:r>
        <w:rPr>
          <w:bCs/>
          <w:b/>
        </w:rPr>
        <w:t xml:space="preserve">Increase Renewable Energy in Production:</w:t>
      </w:r>
      <w:r>
        <w:t xml:space="preserve"> </w:t>
      </w:r>
      <w:r>
        <w:t xml:space="preserve">While 75% renewable energy is commendable, aiming for 100% renewable energy procurement for manufacturing operations in China would significantly reduce Scope 2 emissions. This could involve further investment in on-site renewables or purchasing high-quality renewable energy certificates.</w:t>
      </w:r>
    </w:p>
    <w:p>
      <w:pPr>
        <w:numPr>
          <w:ilvl w:val="0"/>
          <w:numId w:val="1012"/>
        </w:numPr>
        <w:pStyle w:val="Compact"/>
      </w:pPr>
      <w:r>
        <w:rPr>
          <w:bCs/>
          <w:b/>
        </w:rPr>
        <w:t xml:space="preserve">Enhance Circularity:</w:t>
      </w:r>
      <w:r>
        <w:t xml:space="preserve"> </w:t>
      </w:r>
      <w:r>
        <w:t xml:space="preserve">Further expand and promote circular/take-back programs, aiming to increase the recyclability percentage beyond 60% and ensure effective recovery of high-impact materials. Explore design-for-disassembly to facilitate easier recycling and component reuse.</w:t>
      </w:r>
    </w:p>
    <w:p>
      <w:pPr>
        <w:numPr>
          <w:ilvl w:val="0"/>
          <w:numId w:val="1012"/>
        </w:numPr>
        <w:pStyle w:val="Compact"/>
      </w:pPr>
      <w:r>
        <w:rPr>
          <w:bCs/>
          <w:b/>
        </w:rPr>
        <w:t xml:space="preserve">Optimize Logistics:</w:t>
      </w:r>
      <w:r>
        <w:t xml:space="preserve"> </w:t>
      </w:r>
      <w:r>
        <w:t xml:space="preserve">Continuously evaluate and optimize transport routes and modes. While road transport is assumed, exploring options for intermodal transport (e.g., rail for longer distances within Europe) could offer further emission reductions.</w:t>
      </w:r>
    </w:p>
    <w:p>
      <w:r>
        <w:pict>
          <v:rect style="width:0;height:1.5pt" o:hralign="center" o:hrstd="t" o:hr="t"/>
        </w:pict>
      </w:r>
    </w:p>
    <w:bookmarkEnd w:id="45"/>
    <w:bookmarkEnd w:id="46"/>
    <w:p>
      <w:pPr>
        <w:pStyle w:val="FirstParagraph"/>
      </w:pPr>
      <w:r>
        <w:t xml:space="preserve">Confidential - Internal Use Only | Page</w:t>
      </w:r>
      <w:r>
        <w:t xml:space="preserve"> </w:t>
      </w:r>
      <w:bookmarkStart w:id="47" w:name="page-num"/>
      <w:r>
        <w:t xml:space="preserve">1</w:t>
      </w:r>
      <w:bookmarkEnd w:id="47"/>
      <w:r>
        <w:t xml:space="preserve"> </w:t>
      </w:r>
      <w:r>
        <w:t xml:space="preserve">of</w:t>
      </w:r>
      <w:r>
        <w:t xml:space="preserve"> </w:t>
      </w:r>
      <w:bookmarkStart w:id="48" w:name="page-count"/>
      <w:r>
        <w:t xml:space="preserve">1</w:t>
      </w:r>
      <w:bookmarkEnd w:id="4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uomxmsxroz</dc:title>
  <dc:creator/>
  <dc:description>Detailed Product Carbon Footprint (PCF) analysis report for uomxmsxroz, conducted by ggvdjlpddt, Senior Sustainability Consultant for owzhgdlyxj, adhering to GHG Protocol standards and 2026 LSR update.</dc:description>
  <dc:language>en</dc:language>
  <cp:keywords/>
  <dcterms:created xsi:type="dcterms:W3CDTF">2026-07-15T03:57:13Z</dcterms:created>
  <dcterms:modified xsi:type="dcterms:W3CDTF">2026-07-15T03:57:13Z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