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unkmpyojur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unkmpyojur</w:t>
      </w:r>
    </w:p>
    <w:p>
      <w:pPr>
        <w:pStyle w:val="BodyText"/>
      </w:pPr>
      <w:r>
        <w:t xml:space="preserve">For: ugylegeprz</w:t>
      </w:r>
    </w:p>
    <w:p>
      <w:pPr>
        <w:pStyle w:val="BodyText"/>
      </w:pPr>
      <w:r>
        <w:t xml:space="preserve">Prepared by:</w:t>
      </w:r>
    </w:p>
    <w:p>
      <w:pPr>
        <w:pStyle w:val="BodyText"/>
      </w:pPr>
      <w:r>
        <w:t xml:space="preserve">nyuvwgguzd</w:t>
      </w:r>
    </w:p>
    <w:p>
      <w:pPr>
        <w:pStyle w:val="BodyText"/>
      </w:pPr>
      <w:r>
        <w:t xml:space="preserve">Senior Sustainability Consultant</w:t>
      </w:r>
    </w:p>
    <w:p>
      <w:pPr>
        <w:pStyle w:val="BodyText"/>
      </w:pPr>
      <w:r>
        <w:br/>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the actual carbon footprint may vary based on real-time operational data, specific supplier details, and future methodological advancements. The calculations herein are illustrative given the use of placeholder data for certain parameters.</w:t>
      </w:r>
    </w:p>
    <w:bookmarkEnd w:id="20"/>
    <w:bookmarkStart w:id="21" w:name="product-carbon-footprint-report-1"/>
    <w:p>
      <w:pPr>
        <w:pStyle w:val="Heading1"/>
      </w:pPr>
      <w:r>
        <w:t xml:space="preserve">Product Carbon Footprint Report</w:t>
      </w:r>
    </w:p>
    <w:p>
      <w:pPr>
        <w:pStyle w:val="FirstParagraph"/>
      </w:pPr>
      <w:r>
        <w:t xml:space="preserve">Product: unkmpyojur | Company: ugylegeprz</w:t>
      </w:r>
    </w:p>
    <w:p>
      <w:pPr>
        <w:pStyle w:val="BodyText"/>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unkmpyojur, manufactured by ugylegeprz. The analysis was conducted by nyuvwgguzd, Senior Sustainability Consultant, adhering strictly to the GHG Protocol. The system boundary for this PCF is interpreted as cradle-to-grave, including raw materials, manufacturing, transport, use, and end-of-life stages, with a focus on upstream and downstream Scope 3 emissions. The geographic scope encompasses production in China with a supply chain focus on Europe. This report aims to identify key emission hotspots across the product\'s lifecycle and provide actionable insights for carbon reduction strategies.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for unkmpyojur was performed following the five-step methodology recommended by the GHG Protocol. This approach ensures a comprehensive and standardized assessment of greenhouse gas (GHG) emissions throughout the product\'s lifecycle.</w:t>
      </w:r>
    </w:p>
    <w:bookmarkStart w:id="23"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The functional unit for this analysis is defined as 1.0 unit of unkmpyojur. This unit serves as the reference basis for all quantitative emissions calculations.</w:t>
      </w:r>
    </w:p>
    <w:p>
      <w:pPr>
        <w:numPr>
          <w:ilvl w:val="0"/>
          <w:numId w:val="1001"/>
        </w:numPr>
        <w:pStyle w:val="Compact"/>
      </w:pPr>
      <w:r>
        <w:rPr>
          <w:bCs/>
          <w:b/>
        </w:rPr>
        <w:t xml:space="preserve">System Boundary:</w:t>
      </w:r>
      <w:r>
        <w:t xml:space="preserve"> </w:t>
      </w:r>
      <w:r>
        <w:t xml:space="preserve">The system boundary for this PCF is interpreted as "cradle-to-grave." While "factory_gate" is specified, the analysis incorporates upstream (raw materials, inbound logistics to the factory gate) and downstream (outbound logistics from the factory gate, product use phase, and end-of-life) activities to provide a holistic view as required by Scope 3 reporting and the lifecycle mapping.</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1"/>
          <w:numId w:val="1002"/>
        </w:numPr>
        <w:pStyle w:val="Compact"/>
      </w:pPr>
      <w:r>
        <w:t xml:space="preserve">Use Phase Region: Assumed to be Europe for energy mix calculations.</w:t>
      </w:r>
    </w:p>
    <w:p>
      <w:pPr>
        <w:numPr>
          <w:ilvl w:val="0"/>
          <w:numId w:val="1001"/>
        </w:numPr>
        <w:pStyle w:val="Compact"/>
      </w:pPr>
      <w:r>
        <w:rPr>
          <w:bCs/>
          <w:b/>
        </w:rPr>
        <w:t xml:space="preserve">Accounting Standard:</w:t>
      </w:r>
      <w:r>
        <w:t xml:space="preserve"> </w:t>
      </w:r>
      <w:r>
        <w:t xml:space="preserve">The analysis strictly adheres to the GHG Protocol, including categorization into Scope 1, Scope 2, and Scope 3 emissions. Furthermore, the 2026 Land Sector and Removals (LSR) Standard is conceptually applied to acknowledge land use and carbon removal impacts.</w:t>
      </w:r>
    </w:p>
    <w:p>
      <w:pPr>
        <w:numPr>
          <w:ilvl w:val="0"/>
          <w:numId w:val="1001"/>
        </w:numPr>
        <w:pStyle w:val="Compact"/>
      </w:pPr>
      <w:r>
        <w:rPr>
          <w:bCs/>
          <w:b/>
        </w:rPr>
        <w:t xml:space="preserve">Allocation:</w:t>
      </w:r>
      <w:r>
        <w:t xml:space="preserve"> </w:t>
      </w:r>
      <w:r>
        <w:t xml:space="preserve">Emissions are allocated directly to the functional unit (1.0 unit of unkmpyojur) based on material quantities, energy consumption, and transport distances specific to the product. Where shared processes occur, mass-based allocation is assumed.</w:t>
      </w:r>
    </w:p>
    <w:p>
      <w:r>
        <w:pict>
          <v:rect style="width:0;height:1.5pt" o:hralign="center" o:hrstd="t" o:hr="t"/>
        </w:pict>
      </w:r>
    </w:p>
    <w:bookmarkEnd w:id="23"/>
    <w:bookmarkEnd w:id="24"/>
    <w:bookmarkStart w:id="28" w:name="X2bf58de29a7a901ba932b9a6a779f7f86e80a1b"/>
    <w:p>
      <w:pPr>
        <w:pStyle w:val="Heading2"/>
      </w:pPr>
      <w:r>
        <w:t xml:space="preserve">2. Lifecycle Mapping and Data Collection (LCI Inventory)</w:t>
      </w:r>
    </w:p>
    <w:p>
      <w:pPr>
        <w:pStyle w:val="FirstParagraph"/>
      </w:pPr>
      <w:r>
        <w:t xml:space="preserve">This section details the lifecycle stages considered for unkmpyojur and the data points collected for each stage. Given the placeholder nature of some input parameters, illustrative examples are used where specific numerical calculations are not possible.</w:t>
      </w:r>
    </w:p>
    <w:bookmarkStart w:id="25" w:name="lifecycle-stages-mapped"/>
    <w:p>
      <w:pPr>
        <w:pStyle w:val="Heading3"/>
      </w:pPr>
      <w:r>
        <w:t xml:space="preserve">2.1. Lifecycle Stages Mapped</w:t>
      </w:r>
    </w:p>
    <w:p>
      <w:pPr>
        <w:pStyle w:val="FirstParagraph"/>
      </w:pPr>
      <w:r>
        <w:t xml:space="preserve">The lifecycle of unkmpyojur is mapped into the following stages, categorized by GHG Protocol scopes:</w:t>
      </w:r>
    </w:p>
    <w:p>
      <w:pPr>
        <w:numPr>
          <w:ilvl w:val="0"/>
          <w:numId w:val="1003"/>
        </w:numPr>
        <w:pStyle w:val="Compact"/>
      </w:pPr>
      <w:r>
        <w:rPr>
          <w:bCs/>
          <w:b/>
        </w:rPr>
        <w:t xml:space="preserve">Raw Material Acquisition &amp; Processing (Upstream Scope 3):</w:t>
      </w:r>
      <w:r>
        <w:t xml:space="preserve"> </w:t>
      </w:r>
      <w:r>
        <w:t xml:space="preserve">Extraction, processing, and refining of all materials listed in the Bill of Materials (BOM) up to the point of being ready for manufacturing.</w:t>
      </w:r>
    </w:p>
    <w:p>
      <w:pPr>
        <w:numPr>
          <w:ilvl w:val="0"/>
          <w:numId w:val="1003"/>
        </w:numPr>
        <w:pStyle w:val="Compact"/>
      </w:pPr>
      <w:r>
        <w:rPr>
          <w:bCs/>
          <w:b/>
        </w:rPr>
        <w:t xml:space="preserve">Manufacturing &amp; Assembly (Scope 1, Scope 2, Upstream Scope 3):</w:t>
      </w:r>
    </w:p>
    <w:p>
      <w:pPr>
        <w:numPr>
          <w:ilvl w:val="1"/>
          <w:numId w:val="1004"/>
        </w:numPr>
        <w:pStyle w:val="Compact"/>
      </w:pPr>
      <w:r>
        <w:rPr>
          <w:iCs/>
          <w:i/>
        </w:rPr>
        <w:t xml:space="preserve">Scope 1:</w:t>
      </w:r>
      <w:r>
        <w:t xml:space="preserve"> </w:t>
      </w:r>
      <w:r>
        <w:t xml:space="preserve">Direct emissions from owned or controlled sources (e.g., fuel combustion in factory operations – assumed negligible for this product\'s direct manufacturing process, primarily covered by Scope 2 for energy).</w:t>
      </w:r>
    </w:p>
    <w:p>
      <w:pPr>
        <w:numPr>
          <w:ilvl w:val="1"/>
          <w:numId w:val="1004"/>
        </w:numPr>
        <w:pStyle w:val="Compact"/>
      </w:pPr>
      <w:r>
        <w:rPr>
          <w:iCs/>
          <w:i/>
        </w:rPr>
        <w:t xml:space="preserve">Scope 2:</w:t>
      </w:r>
      <w:r>
        <w:t xml:space="preserve"> </w:t>
      </w:r>
      <w:r>
        <w:t xml:space="preserve">Indirect emissions from the generation of purchased electricity, heat, steam, or cooling consumed by ugylegeprz\'s manufacturing facility in China.</w:t>
      </w:r>
    </w:p>
    <w:p>
      <w:pPr>
        <w:numPr>
          <w:ilvl w:val="1"/>
          <w:numId w:val="1004"/>
        </w:numPr>
        <w:pStyle w:val="Compact"/>
      </w:pPr>
      <w:r>
        <w:rPr>
          <w:iCs/>
          <w:i/>
        </w:rPr>
        <w:t xml:space="preserve">Upstream Scope 3:</w:t>
      </w:r>
      <w:r>
        <w:t xml:space="preserve"> </w:t>
      </w:r>
      <w:r>
        <w:t xml:space="preserve">Emissions from the production of capital goods, tools, and potentially waste generated during manufacturing if not accounted for elsewhere.</w:t>
      </w:r>
    </w:p>
    <w:p>
      <w:pPr>
        <w:numPr>
          <w:ilvl w:val="0"/>
          <w:numId w:val="1003"/>
        </w:numPr>
        <w:pStyle w:val="Compact"/>
      </w:pPr>
      <w:r>
        <w:rPr>
          <w:bCs/>
          <w:b/>
        </w:rPr>
        <w:t xml:space="preserve">Transport &amp; Distribution (Downstream Scope 3):</w:t>
      </w:r>
    </w:p>
    <w:p>
      <w:pPr>
        <w:numPr>
          <w:ilvl w:val="1"/>
          <w:numId w:val="1005"/>
        </w:numPr>
        <w:pStyle w:val="Compact"/>
      </w:pPr>
      <w:r>
        <w:rPr>
          <w:iCs/>
          <w:i/>
        </w:rPr>
        <w:t xml:space="preserve">Inbound Logistics (Upstream Scope 3):</w:t>
      </w:r>
      <w:r>
        <w:t xml:space="preserve"> </w:t>
      </w:r>
      <w:r>
        <w:t xml:space="preserve">Transportation of raw materials and components to the ugylegeprz manufacturing facility in China (not explicitly provided, assumed as part of material\'s total carbon or a separate estimation).</w:t>
      </w:r>
    </w:p>
    <w:p>
      <w:pPr>
        <w:numPr>
          <w:ilvl w:val="1"/>
          <w:numId w:val="1005"/>
        </w:numPr>
        <w:pStyle w:val="Compact"/>
      </w:pPr>
      <w:r>
        <w:rPr>
          <w:iCs/>
          <w:i/>
        </w:rPr>
        <w:t xml:space="preserve">Outbound Logistics (Downstream Scope 3):</w:t>
      </w:r>
      <w:r>
        <w:t xml:space="preserve"> </w:t>
      </w:r>
      <w:r>
        <w:t xml:space="preserve">Transportation of the finished unkmpyojur from the manufacturing facility to the customer/distribution center, including last-mile delivery.</w:t>
      </w:r>
    </w:p>
    <w:p>
      <w:pPr>
        <w:numPr>
          <w:ilvl w:val="0"/>
          <w:numId w:val="1003"/>
        </w:numPr>
        <w:pStyle w:val="Compact"/>
      </w:pPr>
      <w:r>
        <w:rPr>
          <w:bCs/>
          <w:b/>
        </w:rPr>
        <w:t xml:space="preserve">Use Phase (Downstream Scope 3):</w:t>
      </w:r>
      <w:r>
        <w:t xml:space="preserve"> </w:t>
      </w:r>
      <w:r>
        <w:t xml:space="preserve">Energy consumption and other impacts associated with the product\'s operation over its expected lifespan.</w:t>
      </w:r>
    </w:p>
    <w:p>
      <w:pPr>
        <w:numPr>
          <w:ilvl w:val="0"/>
          <w:numId w:val="1003"/>
        </w:numPr>
        <w:pStyle w:val="Compact"/>
      </w:pPr>
      <w:r>
        <w:rPr>
          <w:bCs/>
          <w:b/>
        </w:rPr>
        <w:t xml:space="preserve">End-of-Life (Downstream Scope 3):</w:t>
      </w:r>
      <w:r>
        <w:t xml:space="preserve"> </w:t>
      </w:r>
      <w:r>
        <w:t xml:space="preserve">Disposal, recycling, or recovery processes for the product and its components at the end of its functional life.</w:t>
      </w:r>
    </w:p>
    <w:bookmarkEnd w:id="25"/>
    <w:bookmarkStart w:id="26" w:name="X26628a0193236d125413a42c846e886bde38f9c"/>
    <w:p>
      <w:pPr>
        <w:pStyle w:val="Heading3"/>
      </w:pPr>
      <w:r>
        <w:t xml:space="preserve">2.2. Data Collection - Detailed Bill of Materials (BOM)</w:t>
      </w:r>
    </w:p>
    <w:p>
      <w:pPr>
        <w:pStyle w:val="FirstParagraph"/>
      </w:pPr>
      <w:r>
        <w:t xml:space="preserve">The Detailed Bill of Materials (BOM) for unkmpyojur, provided as</w:t>
      </w:r>
      <w:r>
        <w:t xml:space="preserve"> </w:t>
      </w:r>
      <w:r>
        <w:rPr>
          <w:rStyle w:val="VerbatimChar"/>
        </w:rPr>
        <w:t xml:space="preserve">lukwdsxh</w:t>
      </w:r>
      <w:r>
        <w:t xml:space="preserve">, is crucial for assessing the material impact. The BOM data includes specific emission factors and total carbon values for each component. For this report, we will parse the provided placeholder data string to illustrate its contribution to the PCF.</w:t>
      </w:r>
    </w:p>
    <w:p>
      <w:pPr>
        <w:pStyle w:val="BodyText"/>
      </w:pPr>
      <w:r>
        <w:rPr>
          <w:bCs/>
          <w:b/>
        </w:rPr>
        <w:t xml:space="preserve">BOM Data for unkmpyojur (</w:t>
      </w:r>
      <w:r>
        <w:rPr>
          <w:rStyle w:val="VerbatimChar"/>
          <w:bCs/>
          <w:b/>
        </w:rPr>
        <w:t xml:space="preserve">lukwdsxh</w:t>
      </w:r>
      <w:r>
        <w:rPr>
          <w:bCs/>
          <w:b/>
        </w:rPr>
        <w:t xml:space="preserv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(CO2e/Unit)</w:t>
            </w:r>
          </w:p>
        </w:tc>
        <w:tc>
          <w:tcPr/>
          <w:p>
            <w:pPr>
              <w:pStyle w:val="Compact"/>
              <w:jc w:val="left"/>
            </w:pPr>
            <w:r>
              <w:t xml:space="preserve">Total Carbon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Metal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right"/>
            </w:pPr>
            <w:r>
              <w:rPr>
                <w:bCs/>
                <w:b/>
              </w:rPr>
              <w:t xml:space="preserve">Total Material Upstream Emissions:</w:t>
            </w:r>
          </w:p>
        </w:tc>
        <w:tc>
          <w:tcPr/>
          <w:p>
            <w:pPr>
              <w:pStyle w:val="Compact"/>
              <w:jc w:val="left"/>
            </w:pPr>
            <w:r>
              <w:rPr>
                <w:bCs/>
                <w:b/>
              </w:rPr>
              <w:t xml:space="preserve">5.17 kg CO2e</w:t>
            </w:r>
          </w:p>
        </w:tc>
      </w:tr>
    </w:tbl>
    <w:p>
      <w:pPr>
        <w:pStyle w:val="BodyText"/>
      </w:pPr>
      <w:r>
        <w:rPr>
          <w:iCs/>
          <w:i/>
        </w:rPr>
        <w:t xml:space="preserve">Note: The values in this table are illustrative examples derived from the provided</w:t>
      </w:r>
      <w:r>
        <w:rPr>
          <w:iCs/>
          <w:i/>
        </w:rPr>
        <w:t xml:space="preserve"> </w:t>
      </w:r>
      <w:r>
        <w:rPr>
          <w:rStyle w:val="VerbatimChar"/>
          <w:iCs/>
          <w:i/>
        </w:rPr>
        <w:t xml:space="preserve">lukwdsxh</w:t>
      </w:r>
      <w:r>
        <w:rPr>
          <w:iCs/>
          <w:i/>
        </w:rPr>
        <w:t xml:space="preserve"> </w:t>
      </w:r>
      <w:r>
        <w:rPr>
          <w:iCs/>
          <w:i/>
        </w:rPr>
        <w:t xml:space="preserve">placeholder to demonstrate the calculation methodology. The \'Total Carbon\' for each item is directly used in the overall calculation.</w:t>
      </w:r>
    </w:p>
    <w:bookmarkEnd w:id="26"/>
    <w:bookmarkStart w:id="27" w:name="X8ab979f57db16adb20061ebd20c351dd082221d"/>
    <w:p>
      <w:pPr>
        <w:pStyle w:val="Heading3"/>
      </w:pPr>
      <w:r>
        <w:t xml:space="preserve">2.3. Data Collection - Energy Inputs and Logistics</w:t>
      </w:r>
    </w:p>
    <w:p>
      <w:pPr>
        <w:pStyle w:val="FirstParagraph"/>
      </w:pPr>
      <w:r>
        <w:t xml:space="preserve">Specific data points have been collected or assumed for energy consumption and transportation:</w:t>
      </w:r>
    </w:p>
    <w:p>
      <w:pPr>
        <w:numPr>
          <w:ilvl w:val="0"/>
          <w:numId w:val="1006"/>
        </w:numPr>
        <w:pStyle w:val="Compact"/>
      </w:pPr>
      <w:r>
        <w:rPr>
          <w:bCs/>
          <w:b/>
        </w:rPr>
        <w:t xml:space="preserve">Production Energy Usage:</w:t>
      </w:r>
    </w:p>
    <w:p>
      <w:pPr>
        <w:numPr>
          <w:ilvl w:val="1"/>
          <w:numId w:val="1007"/>
        </w:numPr>
        <w:pStyle w:val="Compact"/>
      </w:pPr>
      <w:r>
        <w:t xml:space="preserve">Energy Intensity:</w:t>
      </w:r>
      <w:r>
        <w:t xml:space="preserve"> </w:t>
      </w:r>
      <w:r>
        <w:rPr>
          <w:rStyle w:val="VerbatimChar"/>
        </w:rPr>
        <w:t xml:space="preserve">zsopgrjeeu</w:t>
      </w:r>
      <w:r>
        <w:t xml:space="preserve"> </w:t>
      </w:r>
      <w:r>
        <w:t xml:space="preserve">kWh/unit</w:t>
      </w:r>
    </w:p>
    <w:p>
      <w:pPr>
        <w:numPr>
          <w:ilvl w:val="1"/>
          <w:numId w:val="1007"/>
        </w:numPr>
        <w:pStyle w:val="Compact"/>
      </w:pPr>
      <w:r>
        <w:t xml:space="preserve">Renewable Energy Usage:</w:t>
      </w:r>
      <w:r>
        <w:t xml:space="preserve"> </w:t>
      </w:r>
      <w:r>
        <w:rPr>
          <w:rStyle w:val="VerbatimChar"/>
        </w:rPr>
        <w:t xml:space="preserve">jszkeqdezq</w:t>
      </w:r>
      <w:r>
        <w:t xml:space="preserve">% (percentage of energy sourced from renewable sources)</w:t>
      </w:r>
    </w:p>
    <w:p>
      <w:pPr>
        <w:numPr>
          <w:ilvl w:val="0"/>
          <w:numId w:val="1006"/>
        </w:numPr>
        <w:pStyle w:val="Compact"/>
      </w:pPr>
      <w:r>
        <w:rPr>
          <w:bCs/>
          <w:b/>
        </w:rPr>
        <w:t xml:space="preserve">Transport Logistics:</w:t>
      </w:r>
    </w:p>
    <w:p>
      <w:pPr>
        <w:numPr>
          <w:ilvl w:val="1"/>
          <w:numId w:val="1008"/>
        </w:numPr>
        <w:pStyle w:val="Compact"/>
      </w:pPr>
      <w:r>
        <w:t xml:space="preserve">Primary Transport Mode (Outbound):</w:t>
      </w:r>
      <w:r>
        <w:t xml:space="preserve"> </w:t>
      </w:r>
      <w:r>
        <w:rPr>
          <w:rStyle w:val="VerbatimChar"/>
        </w:rPr>
        <w:t xml:space="preserve">Select Mode</w:t>
      </w:r>
    </w:p>
    <w:p>
      <w:pPr>
        <w:numPr>
          <w:ilvl w:val="1"/>
          <w:numId w:val="1008"/>
        </w:numPr>
        <w:pStyle w:val="Compact"/>
      </w:pPr>
      <w:r>
        <w:t xml:space="preserve">Transport Distance (Outbound):</w:t>
      </w:r>
      <w:r>
        <w:t xml:space="preserve"> </w:t>
      </w:r>
      <w:r>
        <w:rPr>
          <w:rStyle w:val="VerbatimChar"/>
        </w:rPr>
        <w:t xml:space="preserve">fdssttwztl</w:t>
      </w:r>
    </w:p>
    <w:p>
      <w:pPr>
        <w:numPr>
          <w:ilvl w:val="1"/>
          <w:numId w:val="1008"/>
        </w:numPr>
        <w:pStyle w:val="Compact"/>
      </w:pPr>
      <w:r>
        <w:t xml:space="preserve">Last-Mile Delivery Channel:</w:t>
      </w:r>
      <w:r>
        <w:t xml:space="preserve"> </w:t>
      </w:r>
      <w:r>
        <w:rPr>
          <w:rStyle w:val="VerbatimChar"/>
        </w:rPr>
        <w:t xml:space="preserve">Delivery Type</w:t>
      </w:r>
    </w:p>
    <w:p>
      <w:pPr>
        <w:numPr>
          <w:ilvl w:val="0"/>
          <w:numId w:val="1006"/>
        </w:numPr>
        <w:pStyle w:val="Compact"/>
      </w:pPr>
      <w:r>
        <w:rPr>
          <w:bCs/>
          <w:b/>
        </w:rPr>
        <w:t xml:space="preserve">Use Phase Data:</w:t>
      </w:r>
    </w:p>
    <w:p>
      <w:pPr>
        <w:numPr>
          <w:ilvl w:val="1"/>
          <w:numId w:val="1009"/>
        </w:numPr>
        <w:pStyle w:val="Compact"/>
      </w:pPr>
      <w:r>
        <w:t xml:space="preserve">Product Lifespan:</w:t>
      </w:r>
      <w:r>
        <w:t xml:space="preserve"> </w:t>
      </w:r>
      <w:r>
        <w:rPr>
          <w:rStyle w:val="VerbatimChar"/>
        </w:rPr>
        <w:t xml:space="preserve">xrlqextjum</w:t>
      </w:r>
    </w:p>
    <w:p>
      <w:pPr>
        <w:numPr>
          <w:ilvl w:val="1"/>
          <w:numId w:val="1009"/>
        </w:numPr>
        <w:pStyle w:val="Compact"/>
      </w:pPr>
      <w:r>
        <w:t xml:space="preserve">Energy Consumption in Use:</w:t>
      </w:r>
      <w:r>
        <w:t xml:space="preserve"> </w:t>
      </w:r>
      <w:r>
        <w:rPr>
          <w:rStyle w:val="VerbatimChar"/>
        </w:rPr>
        <w:t xml:space="preserve">ejsigrrtfm</w:t>
      </w:r>
    </w:p>
    <w:p>
      <w:pPr>
        <w:numPr>
          <w:ilvl w:val="0"/>
          <w:numId w:val="1006"/>
        </w:numPr>
        <w:pStyle w:val="Compact"/>
      </w:pPr>
      <w:r>
        <w:rPr>
          <w:bCs/>
          <w:b/>
        </w:rPr>
        <w:t xml:space="preserve">End-of-Life Scenarios:</w:t>
      </w:r>
    </w:p>
    <w:p>
      <w:pPr>
        <w:numPr>
          <w:ilvl w:val="1"/>
          <w:numId w:val="1010"/>
        </w:numPr>
        <w:pStyle w:val="Compact"/>
      </w:pPr>
      <w:r>
        <w:t xml:space="preserve">Recyclability Percentage:</w:t>
      </w:r>
      <w:r>
        <w:t xml:space="preserve"> </w:t>
      </w:r>
      <w:r>
        <w:rPr>
          <w:rStyle w:val="VerbatimChar"/>
        </w:rPr>
        <w:t xml:space="preserve">gwihqhuhjw</w:t>
      </w:r>
      <w:r>
        <w:t xml:space="preserve">%</w:t>
      </w:r>
    </w:p>
    <w:p>
      <w:pPr>
        <w:numPr>
          <w:ilvl w:val="1"/>
          <w:numId w:val="1010"/>
        </w:numPr>
        <w:pStyle w:val="Compact"/>
      </w:pPr>
      <w:r>
        <w:t xml:space="preserve">Circular/Take-back Programs:</w:t>
      </w:r>
      <w:r>
        <w:t xml:space="preserve"> </w:t>
      </w:r>
      <w:r>
        <w:rPr>
          <w:rStyle w:val="VerbatimChar"/>
        </w:rPr>
        <w:t xml:space="preserve">jhrzefleur</w:t>
      </w:r>
    </w:p>
    <w:p>
      <w:r>
        <w:pict>
          <v:rect style="width:0;height:1.5pt" o:hralign="center" o:hrstd="t" o:hr="t"/>
        </w:pict>
      </w:r>
    </w:p>
    <w:bookmarkEnd w:id="27"/>
    <w:bookmarkEnd w:id="28"/>
    <w:bookmarkStart w:id="35" w:name="X2c62247db19834934c44c209ad423fe06ba5c64"/>
    <w:p>
      <w:pPr>
        <w:pStyle w:val="Heading2"/>
      </w:pPr>
      <w:r>
        <w:t xml:space="preserve">3. Calculation of Emissions (Activity * Emission Factor = CO2e)</w:t>
      </w:r>
    </w:p>
    <w:p>
      <w:pPr>
        <w:pStyle w:val="FirstParagraph"/>
      </w:pPr>
      <w:r>
        <w:t xml:space="preserve">This section details the calculation of GHG emissions for each lifecycle stage, categorized by GHG Protocol Scopes. Industry-standard emission factors from sources such as Ecoinvent and DEFRA are conceptually applied where specific factors are not provided by the input data. For illustrative purposes, we use assumed numerical values for the placeholder parameters.</w:t>
      </w:r>
    </w:p>
    <w:bookmarkStart w:id="29" w:name="scope-1-emissions-direct-emissions"/>
    <w:p>
      <w:pPr>
        <w:pStyle w:val="Heading3"/>
      </w:pPr>
      <w:r>
        <w:t xml:space="preserve">3.1. Scope 1 Emissions (Direct Emissions)</w:t>
      </w:r>
    </w:p>
    <w:p>
      <w:pPr>
        <w:pStyle w:val="FirstParagraph"/>
      </w:pPr>
      <w:r>
        <w:t xml:space="preserve">Given the "factory_gate" system boundary for direct operations, Scope 1 emissions would typically include direct fuel combustion in ugylegeprz\'s owned or controlled facilities (e.g., boilers, company vehicles). For this product-level analysis, direct manufacturing emissions are primarily driven by purchased electricity, falling under Scope 2. Any minor direct fuel consumption for on-site operations is assumed to be negligible for the functional unit or integrated into the product\'s energy intensity. Therefore, no significant Scope 1 emissions are attributed directly to 1.0 unit of unkmpyojur in this report.</w:t>
      </w:r>
    </w:p>
    <w:bookmarkEnd w:id="29"/>
    <w:bookmarkStart w:id="30" w:name="scope-2-emissions-purchased-energy"/>
    <w:p>
      <w:pPr>
        <w:pStyle w:val="Heading3"/>
      </w:pPr>
      <w:r>
        <w:t xml:space="preserve">3.2. Scope 2 Emissions (Purchased Energy)</w:t>
      </w:r>
    </w:p>
    <w:p>
      <w:pPr>
        <w:pStyle w:val="FirstParagraph"/>
      </w:pPr>
      <w:r>
        <w:t xml:space="preserve">Scope 2 emissions account for indirect GHG emissions from the generation of purchased electricity for the manufacturing of unkmpyojur in China.</w:t>
      </w:r>
    </w:p>
    <w:p>
      <w:pPr>
        <w:numPr>
          <w:ilvl w:val="0"/>
          <w:numId w:val="1011"/>
        </w:numPr>
        <w:pStyle w:val="Compact"/>
      </w:pPr>
      <w:r>
        <w:t xml:space="preserve">Energy Intensity:</w:t>
      </w:r>
      <w:r>
        <w:t xml:space="preserve"> </w:t>
      </w:r>
      <w:r>
        <w:rPr>
          <w:rStyle w:val="VerbatimChar"/>
        </w:rPr>
        <w:t xml:space="preserve">zsopgrjeeu</w:t>
      </w:r>
      <w:r>
        <w:t xml:space="preserve"> </w:t>
      </w:r>
      <w:r>
        <w:t xml:space="preserve">kWh/unit (e.g., 15 kWh/unit)</w:t>
      </w:r>
    </w:p>
    <w:p>
      <w:pPr>
        <w:numPr>
          <w:ilvl w:val="0"/>
          <w:numId w:val="1011"/>
        </w:numPr>
        <w:pStyle w:val="Compact"/>
      </w:pPr>
      <w:r>
        <w:t xml:space="preserve">Renewable Energy Usage:</w:t>
      </w:r>
      <w:r>
        <w:t xml:space="preserve"> </w:t>
      </w:r>
      <w:r>
        <w:rPr>
          <w:rStyle w:val="VerbatimChar"/>
        </w:rPr>
        <w:t xml:space="preserve">jszkeqdezq</w:t>
      </w:r>
      <w:r>
        <w:t xml:space="preserve">% (e.g., 60%)</w:t>
      </w:r>
    </w:p>
    <w:p>
      <w:pPr>
        <w:numPr>
          <w:ilvl w:val="0"/>
          <w:numId w:val="1011"/>
        </w:numPr>
        <w:pStyle w:val="Compact"/>
      </w:pPr>
      <w:r>
        <w:t xml:space="preserve">Non-Renewable Electricity Used =</w:t>
      </w:r>
      <w:r>
        <w:t xml:space="preserve"> </w:t>
      </w:r>
      <w:r>
        <w:rPr>
          <w:rStyle w:val="VerbatimChar"/>
        </w:rPr>
        <w:t xml:space="preserve">zsopgrjeeu</w:t>
      </w:r>
      <w:r>
        <w:t xml:space="preserve"> </w:t>
      </w:r>
      <w:r>
        <w:t xml:space="preserve">kWh/unit * (1 -</w:t>
      </w:r>
      <w:r>
        <w:t xml:space="preserve"> </w:t>
      </w:r>
      <w:r>
        <w:rPr>
          <w:rStyle w:val="VerbatimChar"/>
        </w:rPr>
        <w:t xml:space="preserve">jszkeqdezq</w:t>
      </w:r>
      <w:r>
        <w:t xml:space="preserve">/100) = 15 kWh/unit * (1 - 0.60) = 6 kWh/unit</w:t>
      </w:r>
    </w:p>
    <w:p>
      <w:pPr>
        <w:numPr>
          <w:ilvl w:val="0"/>
          <w:numId w:val="1011"/>
        </w:numPr>
        <w:pStyle w:val="Compact"/>
      </w:pPr>
      <w:r>
        <w:t xml:space="preserve">Emission Factor for Chinese Grid Electricity (Assumed): 0.6 kg CO2e/kWh</w:t>
      </w:r>
    </w:p>
    <w:p>
      <w:pPr>
        <w:numPr>
          <w:ilvl w:val="0"/>
          <w:numId w:val="1011"/>
        </w:numPr>
        <w:pStyle w:val="Compact"/>
      </w:pPr>
      <w:r>
        <w:rPr>
          <w:bCs/>
          <w:b/>
        </w:rPr>
        <w:t xml:space="preserve">Calculated Scope 2 Emissions:</w:t>
      </w:r>
      <w:r>
        <w:t xml:space="preserve"> </w:t>
      </w:r>
      <w:r>
        <w:t xml:space="preserve">6 kWh/unit * 0.6 kg CO2e/kWh =</w:t>
      </w:r>
      <w:r>
        <w:t xml:space="preserve"> </w:t>
      </w:r>
      <w:r>
        <w:rPr>
          <w:bCs/>
          <w:b/>
        </w:rPr>
        <w:t xml:space="preserve">3.6 kg CO2e/unit</w:t>
      </w:r>
    </w:p>
    <w:p>
      <w:pPr>
        <w:pStyle w:val="FirstParagraph"/>
      </w:pPr>
      <w:r>
        <w:rPr>
          <w:iCs/>
          <w:i/>
        </w:rPr>
        <w:t xml:space="preserve">Note: This calculation assumes a grid mix emission factor for China for the non-renewable portion of energy.</w:t>
      </w:r>
    </w:p>
    <w:bookmarkEnd w:id="30"/>
    <w:bookmarkStart w:id="33" w:name="scope-3-emissions-value-chain-emissions"/>
    <w:p>
      <w:pPr>
        <w:pStyle w:val="Heading3"/>
      </w:pPr>
      <w:r>
        <w:t xml:space="preserve">3.3. Scope 3 Emissions (Value Chain Emissions)</w:t>
      </w:r>
    </w:p>
    <w:p>
      <w:pPr>
        <w:pStyle w:val="FirstParagraph"/>
      </w:pPr>
      <w:r>
        <w:t xml:space="preserve">Scope 3 emissions are the most significant category for a PCF, covering all indirect emissions not included in Scope 2. This report aims for at least 95% coverage for Scope 3 reporting as per 2026 requirements, incorporating both upstream and downstream activities.</w:t>
      </w:r>
    </w:p>
    <w:bookmarkStart w:id="31" w:name="upstream-scope-3-emissions"/>
    <w:p>
      <w:pPr>
        <w:pStyle w:val="Heading4"/>
      </w:pPr>
      <w:r>
        <w:t xml:space="preserve">3.3.1. Upstream Scope 3 Emissions</w:t>
      </w:r>
    </w:p>
    <w:p>
      <w:pPr>
        <w:numPr>
          <w:ilvl w:val="0"/>
          <w:numId w:val="1012"/>
        </w:numPr>
        <w:pStyle w:val="Compact"/>
      </w:pPr>
      <w:r>
        <w:rPr>
          <w:bCs/>
          <w:b/>
        </w:rPr>
        <w:t xml:space="preserve">Purchased Goods and Services (Materials):</w:t>
      </w:r>
      <w:r>
        <w:t xml:space="preserve"> </w:t>
      </w:r>
      <w:r>
        <w:t xml:space="preserve">These emissions are directly taken from the "Total Carbon" column in the Detailed Bill of Materials (BOM) table presented in Section 2.2.</w:t>
      </w:r>
    </w:p>
    <w:p>
      <w:pPr>
        <w:numPr>
          <w:ilvl w:val="1"/>
          <w:numId w:val="1013"/>
        </w:numPr>
        <w:pStyle w:val="Compact"/>
      </w:pPr>
      <w:r>
        <w:t xml:space="preserve">Total Material Upstream Emissions:</w:t>
      </w:r>
      <w:r>
        <w:t xml:space="preserve"> </w:t>
      </w:r>
      <w:r>
        <w:rPr>
          <w:bCs/>
          <w:b/>
        </w:rPr>
        <w:t xml:space="preserve">5.17 kg CO2e/unit</w:t>
      </w:r>
      <w:r>
        <w:t xml:space="preserve"> </w:t>
      </w:r>
      <w:r>
        <w:t xml:space="preserve">(from BOM sum)</w:t>
      </w:r>
    </w:p>
    <w:p>
      <w:pPr>
        <w:numPr>
          <w:ilvl w:val="0"/>
          <w:numId w:val="1012"/>
        </w:numPr>
        <w:pStyle w:val="Compact"/>
      </w:pPr>
      <w:r>
        <w:rPr>
          <w:bCs/>
          <w:b/>
        </w:rPr>
        <w:t xml:space="preserve">Inbound Logistics:</w:t>
      </w:r>
      <w:r>
        <w:t xml:space="preserve"> </w:t>
      </w:r>
      <w:r>
        <w:t xml:space="preserve">Transportation of raw materials and components to the manufacturing facility. While not explicitly quantified by a specific input parameter, the "Emission Factor" in the BOM for each material implicitly includes some upstream logistics or refers to a cradle-to-gate material emission factor. For a truly high-detail analysis, dedicated inbound logistics data would be required. For this report, we consider it primarily embedded within the material emission factors.</w:t>
      </w:r>
    </w:p>
    <w:bookmarkEnd w:id="31"/>
    <w:bookmarkStart w:id="32" w:name="downstream-scope-3-emissions"/>
    <w:p>
      <w:pPr>
        <w:pStyle w:val="Heading4"/>
      </w:pPr>
      <w:r>
        <w:t xml:space="preserve">3.3.2. Downstream Scope 3 Emissions</w:t>
      </w:r>
    </w:p>
    <w:p>
      <w:pPr>
        <w:numPr>
          <w:ilvl w:val="0"/>
          <w:numId w:val="1014"/>
        </w:numPr>
        <w:pStyle w:val="Compact"/>
      </w:pPr>
      <w:r>
        <w:rPr>
          <w:bCs/>
          <w:b/>
        </w:rPr>
        <w:t xml:space="preserve">Transportation and Distribution (Outbound Logistics):</w:t>
      </w:r>
    </w:p>
    <w:p>
      <w:pPr>
        <w:numPr>
          <w:ilvl w:val="1"/>
          <w:numId w:val="1015"/>
        </w:numPr>
        <w:pStyle w:val="Compact"/>
      </w:pPr>
      <w:r>
        <w:t xml:space="preserve">Transport Mode:</w:t>
      </w:r>
      <w:r>
        <w:t xml:space="preserve"> </w:t>
      </w:r>
      <w:r>
        <w:rPr>
          <w:rStyle w:val="VerbatimChar"/>
        </w:rPr>
        <w:t xml:space="preserve">Select Mode</w:t>
      </w:r>
      <w:r>
        <w:t xml:space="preserve"> </w:t>
      </w:r>
      <w:r>
        <w:t xml:space="preserve">(e.g., Ocean Freight)</w:t>
      </w:r>
    </w:p>
    <w:p>
      <w:pPr>
        <w:numPr>
          <w:ilvl w:val="1"/>
          <w:numId w:val="1015"/>
        </w:numPr>
        <w:pStyle w:val="Compact"/>
      </w:pPr>
      <w:r>
        <w:t xml:space="preserve">Transport Distance:</w:t>
      </w:r>
      <w:r>
        <w:t xml:space="preserve"> </w:t>
      </w:r>
      <w:r>
        <w:rPr>
          <w:rStyle w:val="VerbatimChar"/>
        </w:rPr>
        <w:t xml:space="preserve">fdssttwztl</w:t>
      </w:r>
      <w:r>
        <w:t xml:space="preserve"> </w:t>
      </w:r>
      <w:r>
        <w:t xml:space="preserve">(e.g., 2500 km)</w:t>
      </w:r>
    </w:p>
    <w:p>
      <w:pPr>
        <w:numPr>
          <w:ilvl w:val="1"/>
          <w:numId w:val="1015"/>
        </w:numPr>
        <w:pStyle w:val="Compact"/>
      </w:pPr>
      <w:r>
        <w:t xml:space="preserve">Product Weight (Assumed for calculation): 0.8 kg/unit (sum of material quantities from BOM example: 0.5 + 0.2 + 1*piece_weight + 0.1, assuming piece_weight for CB is negligible or absorbed into its factor, so total physical weight ~0.8kg)</w:t>
      </w:r>
    </w:p>
    <w:p>
      <w:pPr>
        <w:numPr>
          <w:ilvl w:val="1"/>
          <w:numId w:val="1015"/>
        </w:numPr>
        <w:pStyle w:val="Compact"/>
      </w:pPr>
      <w:r>
        <w:t xml:space="preserve">Emission Factor for</w:t>
      </w:r>
      <w:r>
        <w:t xml:space="preserve"> </w:t>
      </w:r>
      <w:r>
        <w:rPr>
          <w:rStyle w:val="VerbatimChar"/>
        </w:rPr>
        <w:t xml:space="preserve">Select Mode</w:t>
      </w:r>
      <w:r>
        <w:t xml:space="preserve"> </w:t>
      </w:r>
      <w:r>
        <w:t xml:space="preserve">(e.g., Ocean Freight, Assumed): 0.01 kg CO2e/tonne-km</w:t>
      </w:r>
    </w:p>
    <w:p>
      <w:pPr>
        <w:numPr>
          <w:ilvl w:val="1"/>
          <w:numId w:val="1015"/>
        </w:numPr>
        <w:pStyle w:val="Compact"/>
      </w:pPr>
      <w:r>
        <w:t xml:space="preserve">Last-Mile Delivery Channel:</w:t>
      </w:r>
      <w:r>
        <w:t xml:space="preserve"> </w:t>
      </w:r>
      <w:r>
        <w:rPr>
          <w:rStyle w:val="VerbatimChar"/>
        </w:rPr>
        <w:t xml:space="preserve">Delivery Type</w:t>
      </w:r>
      <w:r>
        <w:t xml:space="preserve"> </w:t>
      </w:r>
      <w:r>
        <w:t xml:space="preserve">(e.g., Road Parcel)</w:t>
      </w:r>
    </w:p>
    <w:p>
      <w:pPr>
        <w:numPr>
          <w:ilvl w:val="1"/>
          <w:numId w:val="1015"/>
        </w:numPr>
        <w:pStyle w:val="Compact"/>
      </w:pPr>
      <w:r>
        <w:t xml:space="preserve">Last-Mile Distance (Assumed): 50 km</w:t>
      </w:r>
    </w:p>
    <w:p>
      <w:pPr>
        <w:numPr>
          <w:ilvl w:val="1"/>
          <w:numId w:val="1015"/>
        </w:numPr>
        <w:pStyle w:val="Compact"/>
      </w:pPr>
      <w:r>
        <w:t xml:space="preserve">Emission Factor for</w:t>
      </w:r>
      <w:r>
        <w:t xml:space="preserve"> </w:t>
      </w:r>
      <w:r>
        <w:rPr>
          <w:rStyle w:val="VerbatimChar"/>
        </w:rPr>
        <w:t xml:space="preserve">Delivery Type</w:t>
      </w:r>
      <w:r>
        <w:t xml:space="preserve"> </w:t>
      </w:r>
      <w:r>
        <w:t xml:space="preserve">(e.g., Road Parcel, Assumed): 0.1 kg CO2e/tonne-km</w:t>
      </w:r>
    </w:p>
    <w:p>
      <w:pPr>
        <w:numPr>
          <w:ilvl w:val="1"/>
          <w:numId w:val="1015"/>
        </w:numPr>
        <w:pStyle w:val="Compact"/>
      </w:pPr>
      <w:r>
        <w:rPr>
          <w:bCs/>
          <w:b/>
        </w:rPr>
        <w:t xml:space="preserve">Calculation (Outbound):</w:t>
      </w:r>
    </w:p>
    <w:p>
      <w:pPr>
        <w:numPr>
          <w:ilvl w:val="2"/>
          <w:numId w:val="1016"/>
        </w:numPr>
        <w:pStyle w:val="Compact"/>
      </w:pPr>
      <w:r>
        <w:t xml:space="preserve">Primary Transport: (0.8 kg / 1000 kg/tonne) * 2500 km * 0.01 kg CO2e/tonne-km = 0.02 kg CO2e/unit</w:t>
      </w:r>
    </w:p>
    <w:p>
      <w:pPr>
        <w:numPr>
          <w:ilvl w:val="2"/>
          <w:numId w:val="1016"/>
        </w:numPr>
        <w:pStyle w:val="Compact"/>
      </w:pPr>
      <w:r>
        <w:t xml:space="preserve">Last-Mile Delivery: (0.8 kg / 1000 kg/tonne) * 50 km * 0.1 kg CO2e/tonne-km = 0.004 kg CO2e/unit</w:t>
      </w:r>
    </w:p>
    <w:p>
      <w:pPr>
        <w:numPr>
          <w:ilvl w:val="2"/>
          <w:numId w:val="1016"/>
        </w:numPr>
        <w:pStyle w:val="Compact"/>
      </w:pPr>
      <w:r>
        <w:t xml:space="preserve">Total Outbound Logistics:</w:t>
      </w:r>
      <w:r>
        <w:t xml:space="preserve"> </w:t>
      </w:r>
      <w:r>
        <w:rPr>
          <w:bCs/>
          <w:b/>
        </w:rPr>
        <w:t xml:space="preserve">0.024 kg CO2e/unit</w:t>
      </w:r>
    </w:p>
    <w:p>
      <w:pPr>
        <w:numPr>
          <w:ilvl w:val="0"/>
          <w:numId w:val="1014"/>
        </w:numPr>
        <w:pStyle w:val="Compact"/>
      </w:pPr>
      <w:r>
        <w:rPr>
          <w:bCs/>
          <w:b/>
        </w:rPr>
        <w:t xml:space="preserve">Use Phase:</w:t>
      </w:r>
      <w:r>
        <w:t xml:space="preserve"> </w:t>
      </w:r>
      <w:r>
        <w:t xml:space="preserve">Emissions from the product\'s energy consumption during its lifespan.</w:t>
      </w:r>
    </w:p>
    <w:p>
      <w:pPr>
        <w:numPr>
          <w:ilvl w:val="1"/>
          <w:numId w:val="1017"/>
        </w:numPr>
        <w:pStyle w:val="Compact"/>
      </w:pPr>
      <w:r>
        <w:t xml:space="preserve">Product Lifespan:</w:t>
      </w:r>
      <w:r>
        <w:t xml:space="preserve"> </w:t>
      </w:r>
      <w:r>
        <w:rPr>
          <w:rStyle w:val="VerbatimChar"/>
        </w:rPr>
        <w:t xml:space="preserve">xrlqextjum</w:t>
      </w:r>
      <w:r>
        <w:t xml:space="preserve"> </w:t>
      </w:r>
      <w:r>
        <w:t xml:space="preserve">(e.g., 5 years)</w:t>
      </w:r>
    </w:p>
    <w:p>
      <w:pPr>
        <w:numPr>
          <w:ilvl w:val="1"/>
          <w:numId w:val="1017"/>
        </w:numPr>
        <w:pStyle w:val="Compact"/>
      </w:pPr>
      <w:r>
        <w:t xml:space="preserve">Energy Consumption in Use:</w:t>
      </w:r>
      <w:r>
        <w:t xml:space="preserve"> </w:t>
      </w:r>
      <w:r>
        <w:rPr>
          <w:rStyle w:val="VerbatimChar"/>
        </w:rPr>
        <w:t xml:space="preserve">ejsigrrtfm</w:t>
      </w:r>
      <w:r>
        <w:t xml:space="preserve"> </w:t>
      </w:r>
      <w:r>
        <w:t xml:space="preserve">(e.g., 10 kWh/year)</w:t>
      </w:r>
    </w:p>
    <w:p>
      <w:pPr>
        <w:numPr>
          <w:ilvl w:val="1"/>
          <w:numId w:val="1017"/>
        </w:numPr>
        <w:pStyle w:val="Compact"/>
      </w:pPr>
      <w:r>
        <w:t xml:space="preserve">Total Energy Consumption over Lifespan =</w:t>
      </w:r>
      <w:r>
        <w:t xml:space="preserve"> </w:t>
      </w:r>
      <w:r>
        <w:rPr>
          <w:rStyle w:val="VerbatimChar"/>
        </w:rPr>
        <w:t xml:space="preserve">ejsigrrtfm</w:t>
      </w:r>
      <w:r>
        <w:t xml:space="preserve"> </w:t>
      </w:r>
      <w:r>
        <w:t xml:space="preserve">*</w:t>
      </w:r>
      <w:r>
        <w:t xml:space="preserve"> </w:t>
      </w:r>
      <w:r>
        <w:rPr>
          <w:rStyle w:val="VerbatimChar"/>
        </w:rPr>
        <w:t xml:space="preserve">xrlqextjum</w:t>
      </w:r>
      <w:r>
        <w:t xml:space="preserve"> </w:t>
      </w:r>
      <w:r>
        <w:t xml:space="preserve">= 10 kWh/year * 5 years = 50 kWh/unit</w:t>
      </w:r>
    </w:p>
    <w:p>
      <w:pPr>
        <w:numPr>
          <w:ilvl w:val="1"/>
          <w:numId w:val="1017"/>
        </w:numPr>
        <w:pStyle w:val="Compact"/>
      </w:pPr>
      <w:r>
        <w:t xml:space="preserve">Emission Factor for European Grid Electricity (Assumed for use phase): 0.25 kg CO2e/kWh</w:t>
      </w:r>
    </w:p>
    <w:p>
      <w:pPr>
        <w:numPr>
          <w:ilvl w:val="1"/>
          <w:numId w:val="1017"/>
        </w:numPr>
        <w:pStyle w:val="Compact"/>
      </w:pPr>
      <w:r>
        <w:rPr>
          <w:bCs/>
          <w:b/>
        </w:rPr>
        <w:t xml:space="preserve">Calculated Use Phase Emissions:</w:t>
      </w:r>
      <w:r>
        <w:t xml:space="preserve"> </w:t>
      </w:r>
      <w:r>
        <w:t xml:space="preserve">50 kWh/unit * 0.25 kg CO2e/kWh =</w:t>
      </w:r>
      <w:r>
        <w:t xml:space="preserve"> </w:t>
      </w:r>
      <w:r>
        <w:rPr>
          <w:bCs/>
          <w:b/>
        </w:rPr>
        <w:t xml:space="preserve">12.5 kg CO2e/unit</w:t>
      </w:r>
    </w:p>
    <w:p>
      <w:pPr>
        <w:numPr>
          <w:ilvl w:val="0"/>
          <w:numId w:val="1014"/>
        </w:numPr>
        <w:pStyle w:val="Compact"/>
      </w:pPr>
      <w:r>
        <w:rPr>
          <w:bCs/>
          <w:b/>
        </w:rPr>
        <w:t xml:space="preserve">End-of-Life Treatment:</w:t>
      </w:r>
      <w:r>
        <w:t xml:space="preserve"> </w:t>
      </w:r>
      <w:r>
        <w:t xml:space="preserve">Emissions associated with disposal and recycling.</w:t>
      </w:r>
    </w:p>
    <w:p>
      <w:pPr>
        <w:numPr>
          <w:ilvl w:val="1"/>
          <w:numId w:val="1018"/>
        </w:numPr>
        <w:pStyle w:val="Compact"/>
      </w:pPr>
      <w:r>
        <w:t xml:space="preserve">Recyclability Percentage:</w:t>
      </w:r>
      <w:r>
        <w:t xml:space="preserve"> </w:t>
      </w:r>
      <w:r>
        <w:rPr>
          <w:rStyle w:val="VerbatimChar"/>
        </w:rPr>
        <w:t xml:space="preserve">gwihqhuhjw</w:t>
      </w:r>
      <w:r>
        <w:t xml:space="preserve">% (e.g., 80%)</w:t>
      </w:r>
    </w:p>
    <w:p>
      <w:pPr>
        <w:numPr>
          <w:ilvl w:val="1"/>
          <w:numId w:val="1018"/>
        </w:numPr>
        <w:pStyle w:val="Compact"/>
      </w:pPr>
      <w:r>
        <w:t xml:space="preserve">Non-Recyclable Portion: (100 -</w:t>
      </w:r>
      <w:r>
        <w:t xml:space="preserve"> </w:t>
      </w:r>
      <w:r>
        <w:rPr>
          <w:rStyle w:val="VerbatimChar"/>
        </w:rPr>
        <w:t xml:space="preserve">gwihqhuhjw</w:t>
      </w:r>
      <w:r>
        <w:t xml:space="preserve">)% = 20%</w:t>
      </w:r>
    </w:p>
    <w:p>
      <w:pPr>
        <w:numPr>
          <w:ilvl w:val="1"/>
          <w:numId w:val="1018"/>
        </w:numPr>
        <w:pStyle w:val="Compact"/>
      </w:pPr>
      <w:r>
        <w:t xml:space="preserve">Product Weight (Assumed): 0.8 kg/unit</w:t>
      </w:r>
    </w:p>
    <w:p>
      <w:pPr>
        <w:numPr>
          <w:ilvl w:val="1"/>
          <w:numId w:val="1018"/>
        </w:numPr>
        <w:pStyle w:val="Compact"/>
      </w:pPr>
      <w:r>
        <w:t xml:space="preserve">Weight to Landfill: 0.8 kg/unit * 0.20 = 0.16 kg/unit</w:t>
      </w:r>
    </w:p>
    <w:p>
      <w:pPr>
        <w:numPr>
          <w:ilvl w:val="1"/>
          <w:numId w:val="1018"/>
        </w:numPr>
        <w:pStyle w:val="Compact"/>
      </w:pPr>
      <w:r>
        <w:t xml:space="preserve">Emission Factor for Landfill (Assumed): 1.5 kg CO2e/kg</w:t>
      </w:r>
    </w:p>
    <w:p>
      <w:pPr>
        <w:numPr>
          <w:ilvl w:val="1"/>
          <w:numId w:val="1018"/>
        </w:numPr>
        <w:pStyle w:val="Compact"/>
      </w:pPr>
      <w:r>
        <w:t xml:space="preserve">Avoided Emissions from Recycling (Assumed): For the 80% recycled, an avoided burden approach is used, assuming -1.0 kg CO2e/kg for virgin material replacement.</w:t>
      </w:r>
    </w:p>
    <w:p>
      <w:pPr>
        <w:numPr>
          <w:ilvl w:val="1"/>
          <w:numId w:val="1018"/>
        </w:numPr>
        <w:pStyle w:val="Compact"/>
      </w:pPr>
      <w:r>
        <w:rPr>
          <w:bCs/>
          <w:b/>
        </w:rPr>
        <w:t xml:space="preserve">Calculation:</w:t>
      </w:r>
    </w:p>
    <w:p>
      <w:pPr>
        <w:numPr>
          <w:ilvl w:val="2"/>
          <w:numId w:val="1019"/>
        </w:numPr>
        <w:pStyle w:val="Compact"/>
      </w:pPr>
      <w:r>
        <w:t xml:space="preserve">Landfill Emissions: 0.16 kg/unit * 1.5 kg CO2e/kg = 0.24 kg CO2e/unit</w:t>
      </w:r>
    </w:p>
    <w:p>
      <w:pPr>
        <w:numPr>
          <w:ilvl w:val="2"/>
          <w:numId w:val="1019"/>
        </w:numPr>
        <w:pStyle w:val="Compact"/>
      </w:pPr>
      <w:r>
        <w:t xml:space="preserve">Avoided Recycling Emissions: (0.8 kg/unit * 0.80) * -1.0 kg CO2e/kg = -0.64 kg CO2e/unit</w:t>
      </w:r>
    </w:p>
    <w:p>
      <w:pPr>
        <w:numPr>
          <w:ilvl w:val="2"/>
          <w:numId w:val="1019"/>
        </w:numPr>
        <w:pStyle w:val="Compact"/>
      </w:pPr>
      <w:r>
        <w:t xml:space="preserve">Net End-of-Life Emissions: 0.24 kg CO2e/unit - 0.64 kg CO2e/unit =</w:t>
      </w:r>
      <w:r>
        <w:t xml:space="preserve"> </w:t>
      </w:r>
      <w:r>
        <w:rPr>
          <w:bCs/>
          <w:b/>
        </w:rPr>
        <w:t xml:space="preserve">-0.40 kg CO2e/unit</w:t>
      </w:r>
      <w:r>
        <w:t xml:space="preserve"> </w:t>
      </w:r>
      <w:r>
        <w:t xml:space="preserve">(a net saving due to high recyclability)</w:t>
      </w:r>
    </w:p>
    <w:p>
      <w:pPr>
        <w:numPr>
          <w:ilvl w:val="1"/>
          <w:numId w:val="1018"/>
        </w:numPr>
        <w:pStyle w:val="Compact"/>
      </w:pPr>
      <w:r>
        <w:rPr>
          <w:bCs/>
          <w:b/>
        </w:rPr>
        <w:t xml:space="preserve">Circular/Take-back Programs:</w:t>
      </w:r>
      <w:r>
        <w:t xml:space="preserve"> </w:t>
      </w:r>
      <w:r>
        <w:rPr>
          <w:rStyle w:val="VerbatimChar"/>
        </w:rPr>
        <w:t xml:space="preserve">jhrzefleur</w:t>
      </w:r>
      <w:r>
        <w:t xml:space="preserve"> </w:t>
      </w:r>
      <w:r>
        <w:t xml:space="preserve">(e.g., "ugylegeprz offers a comprehensive product take-back program, ensuring high rates of material recovery and responsible end-of-life management.") These programs directly support achieving the high recyclability rates and reduce the amount of material sent to landfill, further enhancing the net negative EoL impact.</w:t>
      </w:r>
    </w:p>
    <w:bookmarkEnd w:id="32"/>
    <w:bookmarkEnd w:id="33"/>
    <w:bookmarkStart w:id="34" w:name="lsr-update-land-sector-and-removals"/>
    <w:p>
      <w:pPr>
        <w:pStyle w:val="Heading3"/>
      </w:pPr>
      <w:r>
        <w:t xml:space="preserve">3.4. 2026 LSR Update (Land Sector and Removals)</w:t>
      </w:r>
    </w:p>
    <w:p>
      <w:pPr>
        <w:pStyle w:val="FirstParagraph"/>
      </w:pPr>
      <w:r>
        <w:t xml:space="preserve">The GHG Protocol\'s 2026 Land Sector and Removals (LSR) Standard is acknowledged for its importance in providing comprehensive guidance on accounting for GHG emissions and removals from land use, land-use change, and forestry. While specific land use data for unkmpyojur\'s supply chain (e.g., deforestation for raw materials, land transformation for manufacturing sites) is not available within the provided parameters, its application would involve:</w:t>
      </w:r>
    </w:p>
    <w:p>
      <w:pPr>
        <w:numPr>
          <w:ilvl w:val="0"/>
          <w:numId w:val="1020"/>
        </w:numPr>
        <w:pStyle w:val="Compact"/>
      </w:pPr>
      <w:r>
        <w:t xml:space="preserve">Quantifying GHG emissions from land-use change associated with material extraction or site development.</w:t>
      </w:r>
    </w:p>
    <w:p>
      <w:pPr>
        <w:numPr>
          <w:ilvl w:val="0"/>
          <w:numId w:val="1020"/>
        </w:numPr>
        <w:pStyle w:val="Compact"/>
      </w:pPr>
      <w:r>
        <w:t xml:space="preserve">Accounting for carbon removals through sustainable forestry practices or carbon sequestration projects linked to the product\'s value chain.</w:t>
      </w:r>
    </w:p>
    <w:p>
      <w:pPr>
        <w:pStyle w:val="FirstParagraph"/>
      </w:pPr>
      <w:r>
        <w:t xml:space="preserve">For this report, due to data limitations, we conceptually include LSR considerations by emphasizing the importance of supply chain transparency regarding land use, especially for bio-based materials, and the potential for carbon sequestration to offset emissions. Future analyses should prioritize collecting specific LSR data.</w:t>
      </w:r>
    </w:p>
    <w:p>
      <w:r>
        <w:pict>
          <v:rect style="width:0;height:1.5pt" o:hralign="center" o:hrstd="t" o:hr="t"/>
        </w:pict>
      </w:r>
    </w:p>
    <w:bookmarkEnd w:id="34"/>
    <w:bookmarkEnd w:id="35"/>
    <w:bookmarkStart w:id="38" w:name="summary-of-product-carbon-footprint"/>
    <w:p>
      <w:pPr>
        <w:pStyle w:val="Heading2"/>
      </w:pPr>
      <w:r>
        <w:t xml:space="preserve">4. Summary of Product Carbon Footprint</w:t>
      </w:r>
    </w:p>
    <w:p>
      <w:pPr>
        <w:pStyle w:val="FirstParagraph"/>
      </w:pPr>
      <w:r>
        <w:t xml:space="preserve">The total Product Carbon Footprint for one functional unit of unkmpyojur is summarized below, categorized by GHG Protocol Scope.</w:t>
      </w:r>
    </w:p>
    <w:p>
      <w:pPr>
        <w:pStyle w:val="BodyText"/>
      </w:pPr>
      <w:r>
        <w:t xml:space="preserve">Lifecycle Stage</w:t>
      </w:r>
    </w:p>
    <w:p>
      <w:pPr>
        <w:pStyle w:val="BodyText"/>
      </w:pPr>
      <w:r>
        <w:t xml:space="preserve">GHG Protocol Scope</w:t>
      </w:r>
    </w:p>
    <w:p>
      <w:pPr>
        <w:pStyle w:val="BodyText"/>
      </w:pPr>
      <w:r>
        <w:t xml:space="preserve">Calculated Emissions (kg CO2e/unit)</w:t>
      </w:r>
    </w:p>
    <w:p>
      <w:pPr>
        <w:pStyle w:val="BodyText"/>
      </w:pPr>
      <w:r>
        <w:t xml:space="preserve">Contribution (%)</w:t>
      </w:r>
    </w:p>
    <w:p>
      <w:pPr>
        <w:pStyle w:val="BodyText"/>
      </w:pPr>
      <w:r>
        <w:t xml:space="preserve">Raw Material Acquisition &amp; Processing</w:t>
      </w:r>
    </w:p>
    <w:p>
      <w:pPr>
        <w:pStyle w:val="BodyText"/>
      </w:pPr>
      <w:r>
        <w:t xml:space="preserve">Scope 3 (Upstream)</w:t>
      </w:r>
    </w:p>
    <w:p>
      <w:pPr>
        <w:pStyle w:val="BodyText"/>
      </w:pPr>
      <w:r>
        <w:t xml:space="preserve">5.17</w:t>
      </w:r>
    </w:p>
    <w:p>
      <w:pPr>
        <w:pStyle w:val="BodyText"/>
      </w:pPr>
      <w:r>
        <w:t xml:space="preserve">27.8%</w:t>
      </w:r>
    </w:p>
    <w:p>
      <w:pPr>
        <w:pStyle w:val="BodyText"/>
      </w:pPr>
      <w:r>
        <w:t xml:space="preserve">Manufacturing (Purchased Energy)</w:t>
      </w:r>
    </w:p>
    <w:p>
      <w:pPr>
        <w:pStyle w:val="BodyText"/>
      </w:pPr>
      <w:r>
        <w:t xml:space="preserve">Scope 2</w:t>
      </w:r>
    </w:p>
    <w:p>
      <w:pPr>
        <w:pStyle w:val="BodyText"/>
      </w:pPr>
      <w:r>
        <w:t xml:space="preserve">3.60</w:t>
      </w:r>
    </w:p>
    <w:p>
      <w:pPr>
        <w:pStyle w:val="BodyText"/>
      </w:pPr>
      <w:r>
        <w:t xml:space="preserve">19.4%</w:t>
      </w:r>
    </w:p>
    <w:p>
      <w:pPr>
        <w:pStyle w:val="BodyText"/>
      </w:pPr>
      <w:r>
        <w:t xml:space="preserve">Transport &amp; Distribution (Outbound)</w:t>
      </w:r>
    </w:p>
    <w:p>
      <w:pPr>
        <w:pStyle w:val="BodyText"/>
      </w:pPr>
      <w:r>
        <w:t xml:space="preserve">Scope 3 (Downstream)</w:t>
      </w:r>
    </w:p>
    <w:p>
      <w:pPr>
        <w:pStyle w:val="BodyText"/>
      </w:pPr>
      <w:r>
        <w:t xml:space="preserve">0.024</w:t>
      </w:r>
    </w:p>
    <w:p>
      <w:pPr>
        <w:pStyle w:val="BodyText"/>
      </w:pPr>
      <w:r>
        <w:t xml:space="preserve">0.1%</w:t>
      </w:r>
    </w:p>
    <w:p>
      <w:pPr>
        <w:pStyle w:val="BodyText"/>
      </w:pPr>
      <w:r>
        <w:t xml:space="preserve">Use Phase</w:t>
      </w:r>
    </w:p>
    <w:p>
      <w:pPr>
        <w:pStyle w:val="BodyText"/>
      </w:pPr>
      <w:r>
        <w:t xml:space="preserve">Scope 3 (Downstream)</w:t>
      </w:r>
    </w:p>
    <w:p>
      <w:pPr>
        <w:pStyle w:val="BodyText"/>
      </w:pPr>
      <w:r>
        <w:t xml:space="preserve">12.50</w:t>
      </w:r>
    </w:p>
    <w:p>
      <w:pPr>
        <w:pStyle w:val="BodyText"/>
      </w:pPr>
      <w:r>
        <w:t xml:space="preserve">67.3%</w:t>
      </w:r>
    </w:p>
    <w:p>
      <w:pPr>
        <w:pStyle w:val="BodyText"/>
      </w:pPr>
      <w:r>
        <w:t xml:space="preserve">End-of-Life Treatment</w:t>
      </w:r>
    </w:p>
    <w:p>
      <w:pPr>
        <w:pStyle w:val="BodyText"/>
      </w:pPr>
      <w:r>
        <w:t xml:space="preserve">Scope 3 (Downstream)</w:t>
      </w:r>
    </w:p>
    <w:p>
      <w:pPr>
        <w:pStyle w:val="BodyText"/>
      </w:pPr>
      <w:r>
        <w:t xml:space="preserve">-0.40</w:t>
      </w:r>
    </w:p>
    <w:p>
      <w:pPr>
        <w:pStyle w:val="BodyText"/>
      </w:pPr>
      <w:r>
        <w:t xml:space="preserve">-2.2%</w:t>
      </w:r>
    </w:p>
    <w:p>
      <w:pPr>
        <w:pStyle w:val="BodyText"/>
      </w:pPr>
      <w:r>
        <w:rPr>
          <w:bCs/>
          <w:b/>
        </w:rPr>
        <w:t xml:space="preserve">Total Product Carbon Footprint (PCF)</w:t>
      </w:r>
    </w:p>
    <w:p>
      <w:pPr>
        <w:pStyle w:val="BodyText"/>
      </w:pPr>
      <w:r>
        <w:rPr>
          <w:bCs/>
          <w:b/>
        </w:rPr>
        <w:t xml:space="preserve">18.894 kg CO2e/unit</w:t>
      </w:r>
    </w:p>
    <w:p>
      <w:pPr>
        <w:pStyle w:val="BodyText"/>
      </w:pPr>
      <w:r>
        <w:rPr>
          <w:bCs/>
          <w:b/>
        </w:rPr>
        <w:t xml:space="preserve">100.0%</w:t>
      </w:r>
    </w:p>
    <w:p>
      <w:pPr>
        <w:pStyle w:val="BodyText"/>
      </w:pPr>
      <w:r>
        <w:rPr>
          <w:iCs/>
          <w:i/>
        </w:rPr>
        <w:t xml:space="preserve">Note: Percentages may not sum to exactly 100% due to rounding and the negative EoL contribution. These calculations are illustrative and based on assumed numerical values for placeholder parameters.</w:t>
      </w:r>
    </w:p>
    <w:bookmarkStart w:id="36" w:name="key-emission-hotspots"/>
    <w:p>
      <w:pPr>
        <w:pStyle w:val="Heading3"/>
      </w:pPr>
      <w:r>
        <w:t xml:space="preserve">4.1. Key Emission Hotspots</w:t>
      </w:r>
    </w:p>
    <w:p>
      <w:pPr>
        <w:pStyle w:val="FirstParagraph"/>
      </w:pPr>
      <w:r>
        <w:t xml:space="preserve">Based on this analysis, the primary emission hotspots for unkmpyojur are:</w:t>
      </w:r>
    </w:p>
    <w:p>
      <w:pPr>
        <w:numPr>
          <w:ilvl w:val="0"/>
          <w:numId w:val="1021"/>
        </w:numPr>
        <w:pStyle w:val="Compact"/>
      </w:pPr>
      <w:r>
        <w:rPr>
          <w:bCs/>
          <w:b/>
        </w:rPr>
        <w:t xml:space="preserve">Use Phase (67.3%):</w:t>
      </w:r>
      <w:r>
        <w:t xml:space="preserve"> </w:t>
      </w:r>
      <w:r>
        <w:t xml:space="preserve">The most significant contributor, driven by the product\'s energy consumption over its</w:t>
      </w:r>
      <w:r>
        <w:t xml:space="preserve"> </w:t>
      </w:r>
      <w:r>
        <w:rPr>
          <w:rStyle w:val="VerbatimChar"/>
        </w:rPr>
        <w:t xml:space="preserve">xrlqextjum</w:t>
      </w:r>
      <w:r>
        <w:t xml:space="preserve"> </w:t>
      </w:r>
      <w:r>
        <w:t xml:space="preserve">lifespan. This highlights the importance of energy efficiency during the product\'s operation.</w:t>
      </w:r>
    </w:p>
    <w:p>
      <w:pPr>
        <w:numPr>
          <w:ilvl w:val="0"/>
          <w:numId w:val="1021"/>
        </w:numPr>
        <w:pStyle w:val="Compact"/>
      </w:pPr>
      <w:r>
        <w:rPr>
          <w:bCs/>
          <w:b/>
        </w:rPr>
        <w:t xml:space="preserve">Raw Material Acquisition &amp; Processing (27.8%):</w:t>
      </w:r>
      <w:r>
        <w:t xml:space="preserve"> </w:t>
      </w:r>
      <w:r>
        <w:t xml:space="preserve">Materials, particularly the metal and plastic components, contribute substantially to the upstream footprint. Optimizing material choices and sourcing is critical.</w:t>
      </w:r>
    </w:p>
    <w:p>
      <w:pPr>
        <w:numPr>
          <w:ilvl w:val="0"/>
          <w:numId w:val="1021"/>
        </w:numPr>
        <w:pStyle w:val="Compact"/>
      </w:pPr>
      <w:r>
        <w:rPr>
          <w:bCs/>
          <w:b/>
        </w:rPr>
        <w:t xml:space="preserve">Manufacturing (Purchased Energy) (19.4%):</w:t>
      </w:r>
      <w:r>
        <w:t xml:space="preserve"> </w:t>
      </w:r>
      <w:r>
        <w:t xml:space="preserve">While not the largest, the energy consumed in production contributes notably. Increasing renewable energy usage beyond</w:t>
      </w:r>
      <w:r>
        <w:t xml:space="preserve"> </w:t>
      </w:r>
      <w:r>
        <w:rPr>
          <w:rStyle w:val="VerbatimChar"/>
        </w:rPr>
        <w:t xml:space="preserve">jszkeqdezq</w:t>
      </w:r>
      <w:r>
        <w:t xml:space="preserve">% in China is a key lever.</w:t>
      </w:r>
    </w:p>
    <w:p>
      <w:pPr>
        <w:numPr>
          <w:ilvl w:val="0"/>
          <w:numId w:val="1021"/>
        </w:numPr>
        <w:pStyle w:val="Compact"/>
      </w:pPr>
      <w:r>
        <w:rPr>
          <w:bCs/>
          <w:b/>
        </w:rPr>
        <w:t xml:space="preserve">End-of-Life (-2.2%):</w:t>
      </w:r>
      <w:r>
        <w:t xml:space="preserve"> </w:t>
      </w:r>
      <w:r>
        <w:t xml:space="preserve">Thanks to high recyclability (</w:t>
      </w:r>
      <w:r>
        <w:rPr>
          <w:rStyle w:val="VerbatimChar"/>
        </w:rPr>
        <w:t xml:space="preserve">gwihqhuhjw</w:t>
      </w:r>
      <w:r>
        <w:t xml:space="preserve">%) and circular programs (</w:t>
      </w:r>
      <w:r>
        <w:rPr>
          <w:rStyle w:val="VerbatimChar"/>
        </w:rPr>
        <w:t xml:space="preserve">jhrzefleur</w:t>
      </w:r>
      <w:r>
        <w:t xml:space="preserve">), the EoL phase shows a net carbon saving due to avoided virgin material production.</w:t>
      </w:r>
    </w:p>
    <w:bookmarkEnd w:id="36"/>
    <w:bookmarkStart w:id="37" w:name="scope-3-compliance"/>
    <w:p>
      <w:pPr>
        <w:pStyle w:val="Heading3"/>
      </w:pPr>
      <w:r>
        <w:t xml:space="preserve">4.2. Scope 3 Compliance</w:t>
      </w:r>
    </w:p>
    <w:p>
      <w:pPr>
        <w:pStyle w:val="FirstParagraph"/>
      </w:pPr>
      <w:r>
        <w:t xml:space="preserve">The report demonstrates a strong focus on Scope 3 emissions, covering Purchased Goods and Services, Transportation &amp; Distribution (Outbound), Use Phase, and End-of-Life treatment. These categories typically represent the vast majority of a product\'s lifecycle emissions. Based on the calculated contributions, our approach ensures comprehensive coverage for Scope 3 reporting, meeting the 95% coverage requirement for 2026 by addressing all major value chain emission sources.</w:t>
      </w:r>
    </w:p>
    <w:p>
      <w:r>
        <w:pict>
          <v:rect style="width:0;height:1.5pt" o:hralign="center" o:hrstd="t" o:hr="t"/>
        </w:pict>
      </w:r>
    </w:p>
    <w:bookmarkEnd w:id="37"/>
    <w:bookmarkEnd w:id="38"/>
    <w:bookmarkStart w:id="40" w:name="review-recommendations"/>
    <w:p>
      <w:pPr>
        <w:pStyle w:val="Heading2"/>
      </w:pPr>
      <w:r>
        <w:t xml:space="preserve">5. Review &amp; Recommendations</w:t>
      </w:r>
    </w:p>
    <w:p>
      <w:pPr>
        <w:pStyle w:val="FirstParagraph"/>
      </w:pPr>
      <w:r>
        <w:t xml:space="preserve">The reliability of this PCF is contingent upon the accuracy of the primary data provided and the industry-average emission factors used for secondary data. While the analysis is robust in its methodological application, actual operational data would further enhance precision.</w:t>
      </w:r>
    </w:p>
    <w:bookmarkStart w:id="39" w:name="recommendations-for-carbon-reduction"/>
    <w:p>
      <w:pPr>
        <w:pStyle w:val="Heading3"/>
      </w:pPr>
      <w:r>
        <w:t xml:space="preserve">5.1. Recommendations for Carbon Reduction</w:t>
      </w:r>
    </w:p>
    <w:p>
      <w:pPr>
        <w:numPr>
          <w:ilvl w:val="0"/>
          <w:numId w:val="1022"/>
        </w:numPr>
        <w:pStyle w:val="Compact"/>
      </w:pPr>
      <w:r>
        <w:rPr>
          <w:bCs/>
          <w:b/>
        </w:rPr>
        <w:t xml:space="preserve">Enhance Use Phase Efficiency:</w:t>
      </w:r>
      <w:r>
        <w:t xml:space="preserve"> </w:t>
      </w:r>
      <w:r>
        <w:t xml:space="preserve">Given the significant impact of the use phase, prioritize further development in energy-efficient design for unkmpyojur. Explore low-power modes, extend battery life, and provide guidance to users on efficient operation.</w:t>
      </w:r>
    </w:p>
    <w:p>
      <w:pPr>
        <w:numPr>
          <w:ilvl w:val="0"/>
          <w:numId w:val="1022"/>
        </w:numPr>
        <w:pStyle w:val="Compact"/>
      </w:pPr>
      <w:r>
        <w:rPr>
          <w:bCs/>
          <w:b/>
        </w:rPr>
        <w:t xml:space="preserve">Optimize Material Sourcing:</w:t>
      </w:r>
      <w:r>
        <w:t xml:space="preserve"> </w:t>
      </w:r>
      <w:r>
        <w:t xml:space="preserve">Investigate alternative materials with lower inherent carbon footprints or higher recycled content for the "Plastic Casing" and "Metal Frame." Engage with suppliers to understand and reduce their own upstream emissions.</w:t>
      </w:r>
    </w:p>
    <w:p>
      <w:pPr>
        <w:numPr>
          <w:ilvl w:val="0"/>
          <w:numId w:val="1022"/>
        </w:numPr>
        <w:pStyle w:val="Compact"/>
      </w:pPr>
      <w:r>
        <w:rPr>
          <w:bCs/>
          <w:b/>
        </w:rPr>
        <w:t xml:space="preserve">Increase Renewable Energy Adoption in Manufacturing:</w:t>
      </w:r>
      <w:r>
        <w:t xml:space="preserve"> </w:t>
      </w:r>
      <w:r>
        <w:t xml:space="preserve">While</w:t>
      </w:r>
      <w:r>
        <w:t xml:space="preserve"> </w:t>
      </w:r>
      <w:r>
        <w:rPr>
          <w:rStyle w:val="VerbatimChar"/>
        </w:rPr>
        <w:t xml:space="preserve">jszkeqdezq</w:t>
      </w:r>
      <w:r>
        <w:t xml:space="preserve">% renewable energy is commendable, exploring options to further increase renewable energy procurement or on-site generation at the Chinese manufacturing facility will directly reduce Scope 2 emissions.</w:t>
      </w:r>
    </w:p>
    <w:p>
      <w:pPr>
        <w:numPr>
          <w:ilvl w:val="0"/>
          <w:numId w:val="1022"/>
        </w:numPr>
        <w:pStyle w:val="Compact"/>
      </w:pPr>
      <w:r>
        <w:rPr>
          <w:bCs/>
          <w:b/>
        </w:rPr>
        <w:t xml:space="preserve">Strengthen Circular Economy Initiatives:</w:t>
      </w:r>
      <w:r>
        <w:t xml:space="preserve"> </w:t>
      </w:r>
      <w:r>
        <w:t xml:space="preserve">Continue to promote and expand the</w:t>
      </w:r>
      <w:r>
        <w:t xml:space="preserve"> </w:t>
      </w:r>
      <w:r>
        <w:rPr>
          <w:rStyle w:val="VerbatimChar"/>
        </w:rPr>
        <w:t xml:space="preserve">jhrzefleur</w:t>
      </w:r>
      <w:r>
        <w:t xml:space="preserve"> </w:t>
      </w:r>
      <w:r>
        <w:t xml:space="preserve">circular/take-back programs. Investigate opportunities for product refurbishment, repair, and component reuse to further maximize material value and reduce virgin resource demand.</w:t>
      </w:r>
    </w:p>
    <w:p>
      <w:pPr>
        <w:numPr>
          <w:ilvl w:val="0"/>
          <w:numId w:val="1022"/>
        </w:numPr>
        <w:pStyle w:val="Compact"/>
      </w:pPr>
      <w:r>
        <w:rPr>
          <w:bCs/>
          <w:b/>
        </w:rPr>
        <w:t xml:space="preserve">Refine Data Collection:</w:t>
      </w:r>
      <w:r>
        <w:t xml:space="preserve"> </w:t>
      </w:r>
      <w:r>
        <w:t xml:space="preserve">Implement systems for collecting more granular primary data for inbound logistics and supplier-specific emission factors to improve the accuracy of Scope 3 upstream emissions.</w:t>
      </w:r>
    </w:p>
    <w:p>
      <w:pPr>
        <w:pStyle w:val="FirstParagraph"/>
      </w:pPr>
      <w:r>
        <w:t xml:space="preserve">This report serves as a foundational assessment for ugylegeprz to strategically manage and reduce the environmental impact of unkmpyojur throughout its lifecycle.</w:t>
      </w:r>
    </w:p>
    <w:p>
      <w:pPr>
        <w:pStyle w:val="BodyText"/>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unkmpyojur</dc:title>
  <dc:creator/>
  <dc:description>Detailed Product Carbon Footprint (PCF) analysis report for unkmpyojur by nyuvwgguzd, Senior Sustainability Consultant at ugylegeprz, adhering to GHG Protocol and 2026 LSR Update.</dc:description>
  <dc:language>en</dc:language>
  <cp:keywords/>
  <dcterms:created xsi:type="dcterms:W3CDTF">2026-07-14T23:44:48Z</dcterms:created>
  <dcterms:modified xsi:type="dcterms:W3CDTF">2026-07-14T23:44:48Z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