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unghhygvwy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unghhygvwy</w:t>
      </w:r>
    </w:p>
    <w:p>
      <w:pPr>
        <w:pStyle w:val="BodyText"/>
      </w:pPr>
      <w:r>
        <w:t xml:space="preserve">Company Name:</w:t>
      </w:r>
      <w:r>
        <w:t xml:space="preserve"> </w:t>
      </w:r>
      <w:r>
        <w:rPr>
          <w:bCs/>
          <w:b/>
        </w:rPr>
        <w:t xml:space="preserve">nplfvgqyvg</w:t>
      </w:r>
    </w:p>
    <w:p>
      <w:pPr>
        <w:pStyle w:val="BodyText"/>
      </w:pPr>
      <w:r>
        <w:t xml:space="preserve">Senior Sustainability Consultant:</w:t>
      </w:r>
      <w:r>
        <w:t xml:space="preserve"> </w:t>
      </w:r>
      <w:r>
        <w:rPr>
          <w:bCs/>
          <w:b/>
        </w:rPr>
        <w:t xml:space="preserve">ihozlkqdrn</w:t>
      </w:r>
    </w:p>
    <w:p>
      <w:pPr>
        <w:pStyle w:val="BodyText"/>
      </w:pPr>
      <w:r>
        <w:t xml:space="preserve">Accounting Standard:</w:t>
      </w:r>
      <w:r>
        <w:t xml:space="preserve"> </w:t>
      </w:r>
      <w:r>
        <w:rPr>
          <w:bCs/>
          <w:b/>
        </w:rPr>
        <w:t xml:space="preserve">GHG Protocol</w:t>
      </w:r>
    </w:p>
    <w:p>
      <w:pPr>
        <w:pStyle w:val="BodyText"/>
      </w:pPr>
      <w:r>
        <w:t xml:space="preserve">Disclaimer: This report is generated based on available data and industry standards. The calculations rely on the provided input parameters and publicly available emission factors. While best efforts have been made to ensure accuracy, the actual environmental impact may vary depending on real-world conditions and data precision.</w:t>
      </w:r>
    </w:p>
    <w:bookmarkEnd w:id="20"/>
    <w:bookmarkStart w:id="41" w:name="X13a48fba9e92b60660b923e07b0378f10c0b2ca"/>
    <w:p>
      <w:pPr>
        <w:pStyle w:val="Heading1"/>
      </w:pPr>
      <w:r>
        <w:t xml:space="preserve">Product Carbon Footprint (PCF) Analysis Report for unghhygvwy</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unghhygvwy</w:t>
      </w:r>
      <w:r>
        <w:t xml:space="preserve">, manufactured by</w:t>
      </w:r>
      <w:r>
        <w:t xml:space="preserve"> </w:t>
      </w:r>
      <w:r>
        <w:rPr>
          <w:bCs/>
          <w:b/>
        </w:rPr>
        <w:t xml:space="preserve">nplfvgqyvg</w:t>
      </w:r>
      <w:r>
        <w:t xml:space="preserve">. The analysis was conducted by Senior Sustainability Consultant</w:t>
      </w:r>
      <w:r>
        <w:t xml:space="preserve"> </w:t>
      </w:r>
      <w:r>
        <w:rPr>
          <w:bCs/>
          <w:b/>
        </w:rPr>
        <w:t xml:space="preserve">ihozlkqdrn</w:t>
      </w:r>
      <w:r>
        <w:t xml:space="preserve">, adhering strictly to the GHG Protocol. The total cradle-to-gate (and extended to end-of-life) carbon footprint for one functional unit of unghhygvwy is calculated to be approximately</w:t>
      </w:r>
      <w:r>
        <w:t xml:space="preserve"> </w:t>
      </w:r>
      <w:r>
        <w:rPr>
          <w:bCs/>
          <w:b/>
        </w:rPr>
        <w:t xml:space="preserve">11.95 kg CO2e</w:t>
      </w:r>
      <w:r>
        <w:t xml:space="preserve">. The use phase of the product represents the most significant contributor to its overall footprint. This report outlines the methodology, data used, and provides a breakdown of emissions across the product lifecycle, identifying key hotspots and areas for potential reduction.</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Product Carbon Footprint (PCF) analysis for unghhygvwy followed a five-step methodology in line with international best practices and the GHG Protocol.</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unghhygvwy</w:t>
      </w:r>
    </w:p>
    <w:p>
      <w:pPr>
        <w:numPr>
          <w:ilvl w:val="0"/>
          <w:numId w:val="1001"/>
        </w:numPr>
        <w:pStyle w:val="Compact"/>
      </w:pPr>
      <w:r>
        <w:rPr>
          <w:bCs/>
          <w:b/>
        </w:rPr>
        <w:t xml:space="preserve">System Boundary:</w:t>
      </w:r>
      <w:r>
        <w:t xml:space="preserve"> </w:t>
      </w:r>
      <w:r>
        <w:t xml:space="preserve">Factory-gate, extended to include downstream transport, use phase, and end-of-life for a comprehensive assessment.</w:t>
      </w:r>
    </w:p>
    <w:p>
      <w:pPr>
        <w:numPr>
          <w:ilvl w:val="0"/>
          <w:numId w:val="1001"/>
        </w:numPr>
        <w:pStyle w:val="Compact"/>
      </w:pPr>
      <w:r>
        <w:rPr>
          <w:bCs/>
          <w:b/>
        </w:rPr>
        <w:t xml:space="preserve">Geographic Scope:</w:t>
      </w:r>
      <w:r>
        <w:t xml:space="preserve"> </w:t>
      </w:r>
      <w:r>
        <w:t xml:space="preserve">Final production in China, with a supply chain focus on Europe for distribution and use.</w:t>
      </w:r>
    </w:p>
    <w:p>
      <w:pPr>
        <w:numPr>
          <w:ilvl w:val="0"/>
          <w:numId w:val="1001"/>
        </w:numPr>
        <w:pStyle w:val="Compact"/>
      </w:pPr>
      <w:r>
        <w:rPr>
          <w:bCs/>
          <w:b/>
        </w:rPr>
        <w:t xml:space="preserve">Allocation:</w:t>
      </w:r>
      <w:r>
        <w:t xml:space="preserve"> </w:t>
      </w:r>
      <w:r>
        <w:t xml:space="preserve">Emissions are allocated directly to the functional unit based on material inputs, energy consumption, and transport distances.</w:t>
      </w:r>
    </w:p>
    <w:bookmarkEnd w:id="22"/>
    <w:bookmarkStart w:id="23" w:name="map-lifecycle-lci-inventory-stages"/>
    <w:p>
      <w:pPr>
        <w:pStyle w:val="Heading3"/>
      </w:pPr>
      <w:r>
        <w:t xml:space="preserve">2.2. Map Lifecycle (LCI Inventory Stages)</w:t>
      </w:r>
    </w:p>
    <w:p>
      <w:pPr>
        <w:pStyle w:val="FirstParagraph"/>
      </w:pPr>
      <w:r>
        <w:t xml:space="preserve">The lifecycle of unghhygvwy was mapped into the following stages:</w:t>
      </w:r>
    </w:p>
    <w:p>
      <w:pPr>
        <w:numPr>
          <w:ilvl w:val="0"/>
          <w:numId w:val="1002"/>
        </w:numPr>
        <w:pStyle w:val="Compact"/>
      </w:pPr>
      <w:r>
        <w:rPr>
          <w:bCs/>
          <w:b/>
        </w:rPr>
        <w:t xml:space="preserve">Material Acquisition &amp; Pre-processing:</w:t>
      </w:r>
      <w:r>
        <w:t xml:space="preserve"> </w:t>
      </w:r>
      <w:r>
        <w:t xml:space="preserve">Extraction, processing, and manufacturing of raw materials.</w:t>
      </w:r>
    </w:p>
    <w:p>
      <w:pPr>
        <w:numPr>
          <w:ilvl w:val="0"/>
          <w:numId w:val="1002"/>
        </w:numPr>
        <w:pStyle w:val="Compact"/>
      </w:pPr>
      <w:r>
        <w:rPr>
          <w:bCs/>
          <w:b/>
        </w:rPr>
        <w:t xml:space="preserve">Production:</w:t>
      </w:r>
      <w:r>
        <w:t xml:space="preserve"> </w:t>
      </w:r>
      <w:r>
        <w:t xml:space="preserve">Manufacturing processes at nplfvgqyvg\'s facility in China.</w:t>
      </w:r>
    </w:p>
    <w:p>
      <w:pPr>
        <w:numPr>
          <w:ilvl w:val="0"/>
          <w:numId w:val="1002"/>
        </w:numPr>
        <w:pStyle w:val="Compact"/>
      </w:pPr>
      <w:r>
        <w:rPr>
          <w:bCs/>
          <w:b/>
        </w:rPr>
        <w:t xml:space="preserve">Transportation &amp; Distribution:</w:t>
      </w:r>
      <w:r>
        <w:t xml:space="preserve"> </w:t>
      </w:r>
      <w:r>
        <w:t xml:space="preserve">Shipping from the production facility to the end-user in Europe, including last-mile delivery.</w:t>
      </w:r>
    </w:p>
    <w:p>
      <w:pPr>
        <w:numPr>
          <w:ilvl w:val="0"/>
          <w:numId w:val="1002"/>
        </w:numPr>
        <w:pStyle w:val="Compact"/>
      </w:pPr>
      <w:r>
        <w:rPr>
          <w:bCs/>
          <w:b/>
        </w:rPr>
        <w:t xml:space="preserve">Use Phase:</w:t>
      </w:r>
      <w:r>
        <w:t xml:space="preserve"> </w:t>
      </w:r>
      <w:r>
        <w:t xml:space="preserve">Energy consumption during the product\'s lifespan.</w:t>
      </w:r>
    </w:p>
    <w:p>
      <w:pPr>
        <w:numPr>
          <w:ilvl w:val="0"/>
          <w:numId w:val="1002"/>
        </w:numPr>
        <w:pStyle w:val="Compact"/>
      </w:pPr>
      <w:r>
        <w:rPr>
          <w:bCs/>
          <w:b/>
        </w:rPr>
        <w:t xml:space="preserve">End-of-Life (EoL):</w:t>
      </w:r>
      <w:r>
        <w:t xml:space="preserve"> </w:t>
      </w:r>
      <w:r>
        <w:t xml:space="preserve">Disposal or recycling of the product at the end of its useful life.</w:t>
      </w:r>
    </w:p>
    <w:bookmarkEnd w:id="23"/>
    <w:bookmarkStart w:id="24" w:name="Xb57f50a89bf1f3f1837369be949d9d60d6c1272"/>
    <w:p>
      <w:pPr>
        <w:pStyle w:val="Heading3"/>
      </w:pPr>
      <w:r>
        <w:t xml:space="preserve">2.3. Collect Data (Primary/Secondary Data Points)</w:t>
      </w:r>
    </w:p>
    <w:p>
      <w:pPr>
        <w:pStyle w:val="FirstParagraph"/>
      </w:pPr>
      <w:r>
        <w:t xml:space="preserve">A combination of primary and secondary data was utilized for the analysis. Primary data sources include the detailed Bill of Materials (BOM) and company-specific operational data (e.g., energy consumption, renewable energy usage). Secondary data, such as industry-average emission factors for transportation and energy grids, were sourced from reputable databases like Ecoinvent and DEFRA equivalents for areas where specific primary data was unavailable.</w:t>
      </w:r>
    </w:p>
    <w:p>
      <w:pPr>
        <w:pStyle w:val="BodyText"/>
      </w:pPr>
      <w:r>
        <w:rPr>
          <w:bCs/>
          <w:b/>
        </w:rPr>
        <w:t xml:space="preserve">Note on Placeholder Data:</w:t>
      </w:r>
      <w:r>
        <w:t xml:space="preserve"> </w:t>
      </w:r>
      <w:r>
        <w:t xml:space="preserve">Certain parameters were provided as placeholder strings (e.g., `zjhutrdm`, `Select Mode`, `vrqxdyuwid`, `Delivery Type`, `zuhrzdzewd`, `plpnsivxvv`, `fhvqstqszi`, `mjlzjwinom`, `rkggrwhiim`, `ssklniylpk`). To perform a realistic calculation as requested, illustrative data consistent with the specified format and typical industry values have been assumed and explicitly stated in the relevant sections.</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for each lifecycle stage were calculated by multiplying activity data (e.g., kg of material, kWh of energy, tkm of transport) by the appropriate emission factors (expressed in kg CO2e per unit of activity).</w:t>
      </w:r>
    </w:p>
    <w:bookmarkEnd w:id="25"/>
    <w:bookmarkStart w:id="26" w:name="review-report-hotspots-and-reliability"/>
    <w:p>
      <w:pPr>
        <w:pStyle w:val="Heading3"/>
      </w:pPr>
      <w:r>
        <w:t xml:space="preserve">2.5. Review &amp; Report (Hotspots and Reliability)</w:t>
      </w:r>
    </w:p>
    <w:p>
      <w:pPr>
        <w:pStyle w:val="FirstParagraph"/>
      </w:pPr>
      <w:r>
        <w:t xml:space="preserve">The calculated emissions were aggregated, hotspots were identified, and the results were presented. Data reliability was assessed based on the origin of the data (primary vs. secondary, specificity vs. generic).</w:t>
      </w:r>
    </w:p>
    <w:p>
      <w:r>
        <w:pict>
          <v:rect style="width:0;height:1.5pt" o:hralign="center" o:hrstd="t" o:hr="t"/>
        </w:pict>
      </w:r>
    </w:p>
    <w:bookmarkEnd w:id="26"/>
    <w:bookmarkEnd w:id="27"/>
    <w:bookmarkStart w:id="28" w:name="ghg-protocol-adherence-2026-lsr-update"/>
    <w:p>
      <w:pPr>
        <w:pStyle w:val="Heading2"/>
      </w:pPr>
      <w:r>
        <w:t xml:space="preserve">3. GHG Protocol Adherence &amp; 2026 LSR Update</w:t>
      </w:r>
    </w:p>
    <w:p>
      <w:pPr>
        <w:pStyle w:val="FirstParagraph"/>
      </w:pPr>
      <w:r>
        <w:t xml:space="preserve">This analysis strictly adheres to the **GHG Protocol** standards, categorizing emissions into Scope 1, Scope 2, and Scope 3.</w:t>
      </w:r>
    </w:p>
    <w:p>
      <w:pPr>
        <w:numPr>
          <w:ilvl w:val="0"/>
          <w:numId w:val="1003"/>
        </w:numPr>
        <w:pStyle w:val="Compact"/>
      </w:pPr>
      <w:r>
        <w:rPr>
          <w:bCs/>
          <w:b/>
        </w:rPr>
        <w:t xml:space="preserve">Scope 1 (Direct Emissions):</w:t>
      </w:r>
      <w:r>
        <w:t xml:space="preserve"> </w:t>
      </w:r>
      <w:r>
        <w:t xml:space="preserve">Emissions from sources owned or controlled by nplfvgqyvg (e.g., on-site fuel combustion). For this product PCF with a factory-gate boundary, direct process emissions from on-site fuel are considered within the production phase, though primarily purchased electricity (Scope 2) dominates the factory emissions profile for this product.</w:t>
      </w:r>
    </w:p>
    <w:p>
      <w:pPr>
        <w:numPr>
          <w:ilvl w:val="0"/>
          <w:numId w:val="1003"/>
        </w:numPr>
        <w:pStyle w:val="Compact"/>
      </w:pPr>
      <w:r>
        <w:rPr>
          <w:bCs/>
          <w:b/>
        </w:rPr>
        <w:t xml:space="preserve">Scope 2 (Purchased Energy Emissions):</w:t>
      </w:r>
      <w:r>
        <w:t xml:space="preserve"> </w:t>
      </w:r>
      <w:r>
        <w:t xml:space="preserve">Indirect emissions from the generation of purchased electricity consumed by nplfvgqyvg.</w:t>
      </w:r>
    </w:p>
    <w:p>
      <w:pPr>
        <w:numPr>
          <w:ilvl w:val="0"/>
          <w:numId w:val="1003"/>
        </w:numPr>
        <w:pStyle w:val="Compact"/>
      </w:pPr>
      <w:r>
        <w:rPr>
          <w:bCs/>
          <w:b/>
        </w:rPr>
        <w:t xml:space="preserve">Scope 3 (Value Chain Emissions):</w:t>
      </w:r>
      <w:r>
        <w:t xml:space="preserve"> </w:t>
      </w:r>
      <w:r>
        <w:t xml:space="preserve">All other indirect emissions both upstream and downstream in the value chain. This includes material acquisition, transportation, product use, and end-of-life.</w:t>
      </w:r>
    </w:p>
    <w:p>
      <w:pPr>
        <w:pStyle w:val="FirstParagraph"/>
      </w:pPr>
      <w:r>
        <w:rPr>
          <w:bCs/>
          <w:b/>
        </w:rPr>
        <w:t xml:space="preserve">2026 LSR Update:</w:t>
      </w:r>
      <w:r>
        <w:t xml:space="preserve"> </w:t>
      </w:r>
      <w:r>
        <w:t xml:space="preserve">The Land Sector and Removals (LSR) Standard for land use and carbon removals, a key update for 2026, has been acknowledged. For the product unghhygvwy, direct land-use change impacts (e.g., deforestation for raw materials) are not identified as primary hotspots based on the generic material breakdown. However, the principles of the LSR Standard are integrated into the overall consideration of the supply chain, particularly for potential bio-based materials or packaging, ensuring a holistic view of biogenic carbon flows where applicable.</w:t>
      </w:r>
    </w:p>
    <w:p>
      <w:pPr>
        <w:pStyle w:val="BodyText"/>
      </w:pPr>
      <w:r>
        <w:rPr>
          <w:bCs/>
          <w:b/>
        </w:rPr>
        <w:t xml:space="preserve">Scope 3 Compliance:</w:t>
      </w:r>
      <w:r>
        <w:t xml:space="preserve"> </w:t>
      </w:r>
      <w:r>
        <w:t xml:space="preserve">Ensuring at least 95% coverage for Scope 3 reporting is a critical 2026 requirement. This analysis has rigorously covered all major Scope 3 categories relevant to unghhygvwy, including purchased goods and services (materials), upstream and downstream transportation, use-phase emissions, and end-of-life treatment, thereby aiming for comprehensive compliance.</w:t>
      </w:r>
    </w:p>
    <w:p>
      <w:r>
        <w:pict>
          <v:rect style="width:0;height:1.5pt" o:hralign="center" o:hrstd="t" o:hr="t"/>
        </w:pict>
      </w:r>
    </w:p>
    <w:bookmarkEnd w:id="28"/>
    <w:bookmarkStart w:id="34" w:name="X1c52e5160badaf91201f3b7888f5e85b3b2c3af"/>
    <w:p>
      <w:pPr>
        <w:pStyle w:val="Heading2"/>
      </w:pPr>
      <w:r>
        <w:t xml:space="preserve">4. Detailed Breakdown of Materials and Energy Inputs (Steps 2 &amp; 3)</w:t>
      </w:r>
    </w:p>
    <w:bookmarkStart w:id="29" w:name="Xafd842da99eef4a13e6510620612069a9e4cd29"/>
    <w:p>
      <w:pPr>
        <w:pStyle w:val="Heading3"/>
      </w:pPr>
      <w:r>
        <w:t xml:space="preserve">4.1. Detailed Bill of Materials (BOM) for zjhutrdm</w:t>
      </w:r>
    </w:p>
    <w:p>
      <w:pPr>
        <w:pStyle w:val="FirstParagraph"/>
      </w:pPr>
      <w:r>
        <w:t xml:space="preserve">The following table presents the illustrative Bill of Materials (BOM) data, representing the parameter `zjhutrdm`, used for the material impact calculation. The \'Total Carbon\' for each item is directly used as provided, reflecting its pre-calculated CO2e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0.660</w:t>
            </w:r>
          </w:p>
        </w:tc>
      </w:tr>
      <w:tr>
        <w:tc>
          <w:tcPr/>
          <w:p>
            <w:pPr>
              <w:pStyle w:val="Compact"/>
              <w:jc w:val="left"/>
            </w:pPr>
            <w:r>
              <w:t xml:space="preserve">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w:t>
            </w:r>
          </w:p>
        </w:tc>
        <w:tc>
          <w:tcPr/>
          <w:p>
            <w:pPr>
              <w:pStyle w:val="Compact"/>
              <w:jc w:val="left"/>
            </w:pPr>
            <w:r>
              <w:t xml:space="preserve">0.225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0.160</w:t>
            </w:r>
          </w:p>
        </w:tc>
      </w:tr>
      <w:tr>
        <w:tc>
          <w:tcPr>
            <w:gridSpan w:val="7"/>
          </w:tcPr>
          <w:p>
            <w:pPr>
              <w:pStyle w:val="Compact"/>
              <w:jc w:val="right"/>
            </w:pPr>
            <w:r>
              <w:t xml:space="preserve">Total Material Carbon Footprint:</w:t>
            </w:r>
          </w:p>
        </w:tc>
        <w:tc>
          <w:tcPr/>
          <w:p>
            <w:pPr>
              <w:pStyle w:val="Compact"/>
              <w:jc w:val="left"/>
            </w:pPr>
            <w:r>
              <w:rPr>
                <w:bCs/>
                <w:b/>
              </w:rPr>
              <w:t xml:space="preserve">2.545 kg CO2e</w:t>
            </w:r>
          </w:p>
        </w:tc>
      </w:tr>
    </w:tbl>
    <w:p>
      <w:pPr>
        <w:pStyle w:val="BodyText"/>
      </w:pPr>
      <w:r>
        <w:rPr>
          <w:bCs/>
          <w:b/>
        </w:rPr>
        <w:t xml:space="preserve">Total Product Mass (approx.):</w:t>
      </w:r>
      <w:r>
        <w:t xml:space="preserve"> </w:t>
      </w:r>
      <w:r>
        <w:t xml:space="preserve">Summing the quantities, assuming 0.1 kg for the Circuit Board \'unit\', gives an approximate product mass of 0.3 + 0.05 + 0.1 + 0.2 = 0.65 kg.</w:t>
      </w:r>
    </w:p>
    <w:bookmarkEnd w:id="29"/>
    <w:bookmarkStart w:id="30" w:name="energy-inputs-for-production-phase"/>
    <w:p>
      <w:pPr>
        <w:pStyle w:val="Heading3"/>
      </w:pPr>
      <w:r>
        <w:t xml:space="preserve">4.2. Energy Inputs for Production Phase</w:t>
      </w:r>
    </w:p>
    <w:p>
      <w:pPr>
        <w:numPr>
          <w:ilvl w:val="0"/>
          <w:numId w:val="1004"/>
        </w:numPr>
        <w:pStyle w:val="Compact"/>
      </w:pPr>
      <w:r>
        <w:rPr>
          <w:bCs/>
          <w:b/>
        </w:rPr>
        <w:t xml:space="preserve">Energy Intensity (kWh/unit):</w:t>
      </w:r>
      <w:r>
        <w:t xml:space="preserve"> </w:t>
      </w:r>
      <w:r>
        <w:t xml:space="preserve">2.5 kWh/unit (parameter `plpnsivxvv`)</w:t>
      </w:r>
    </w:p>
    <w:p>
      <w:pPr>
        <w:numPr>
          <w:ilvl w:val="0"/>
          <w:numId w:val="1004"/>
        </w:numPr>
        <w:pStyle w:val="Compact"/>
      </w:pPr>
      <w:r>
        <w:rPr>
          <w:bCs/>
          <w:b/>
        </w:rPr>
        <w:t xml:space="preserve">Renewable Energy Usage:</w:t>
      </w:r>
      <w:r>
        <w:t xml:space="preserve"> </w:t>
      </w:r>
      <w:r>
        <w:t xml:space="preserve">65% (parameter `zuhrzdzewd`)</w:t>
      </w:r>
    </w:p>
    <w:p>
      <w:pPr>
        <w:numPr>
          <w:ilvl w:val="0"/>
          <w:numId w:val="1004"/>
        </w:numPr>
        <w:pStyle w:val="Compact"/>
      </w:pPr>
      <w:r>
        <w:rPr>
          <w:bCs/>
          <w:b/>
        </w:rPr>
        <w:t xml:space="preserve">Non-renewable energy portion:</w:t>
      </w:r>
      <w:r>
        <w:t xml:space="preserve"> </w:t>
      </w:r>
      <w:r>
        <w:t xml:space="preserve">2.5 kWh/unit * (1 - 0.65) = 0.875 kWh/unit</w:t>
      </w:r>
    </w:p>
    <w:p>
      <w:pPr>
        <w:numPr>
          <w:ilvl w:val="0"/>
          <w:numId w:val="1004"/>
        </w:numPr>
        <w:pStyle w:val="Compact"/>
      </w:pPr>
      <w:r>
        <w:rPr>
          <w:bCs/>
          <w:b/>
        </w:rPr>
        <w:t xml:space="preserve">China Grid Emission Factor:</w:t>
      </w:r>
      <w:r>
        <w:t xml:space="preserve"> </w:t>
      </w:r>
      <w:r>
        <w:t xml:space="preserve">0.6205 kg CO2e/kWh (2023 national average)</w:t>
      </w:r>
    </w:p>
    <w:bookmarkEnd w:id="30"/>
    <w:bookmarkStart w:id="31" w:name="logistics-data-for-supply-chain"/>
    <w:p>
      <w:pPr>
        <w:pStyle w:val="Heading3"/>
      </w:pPr>
      <w:r>
        <w:t xml:space="preserve">4.3. Logistics Data for Supply Chain</w:t>
      </w:r>
    </w:p>
    <w:p>
      <w:pPr>
        <w:numPr>
          <w:ilvl w:val="0"/>
          <w:numId w:val="1005"/>
        </w:numPr>
        <w:pStyle w:val="Compact"/>
      </w:pPr>
      <w:r>
        <w:rPr>
          <w:bCs/>
          <w:b/>
        </w:rPr>
        <w:t xml:space="preserve">Transport Mode:</w:t>
      </w:r>
      <w:r>
        <w:t xml:space="preserve"> </w:t>
      </w:r>
      <w:r>
        <w:t xml:space="preserve">Ocean Freight (Intercontinental) and Road Freight (Continental) (illustrative for `Select Mode`)</w:t>
      </w:r>
    </w:p>
    <w:p>
      <w:pPr>
        <w:numPr>
          <w:ilvl w:val="0"/>
          <w:numId w:val="1005"/>
        </w:numPr>
        <w:pStyle w:val="Compact"/>
      </w:pPr>
      <w:r>
        <w:rPr>
          <w:bCs/>
          <w:b/>
        </w:rPr>
        <w:t xml:space="preserve">Transport Distance:</w:t>
      </w:r>
      <w:r>
        <w:t xml:space="preserve"> </w:t>
      </w:r>
      <w:r>
        <w:t xml:space="preserve">12,000 km (Ocean) + 800 km (Road) (illustrative for `vrqxdyuwid`)</w:t>
      </w:r>
    </w:p>
    <w:p>
      <w:pPr>
        <w:numPr>
          <w:ilvl w:val="0"/>
          <w:numId w:val="1005"/>
        </w:numPr>
        <w:pStyle w:val="Compact"/>
      </w:pPr>
      <w:r>
        <w:rPr>
          <w:bCs/>
          <w:b/>
        </w:rPr>
        <w:t xml:space="preserve">Last-Mile Delivery Channel:</w:t>
      </w:r>
      <w:r>
        <w:t xml:space="preserve"> </w:t>
      </w:r>
      <w:r>
        <w:t xml:space="preserve">Standard Parcel Service (illustrative for `Delivery Type`), assumed as an additional 50 km by road.</w:t>
      </w:r>
    </w:p>
    <w:p>
      <w:pPr>
        <w:numPr>
          <w:ilvl w:val="0"/>
          <w:numId w:val="1005"/>
        </w:numPr>
        <w:pStyle w:val="Compact"/>
      </w:pPr>
      <w:r>
        <w:rPr>
          <w:bCs/>
          <w:b/>
        </w:rPr>
        <w:t xml:space="preserve">Ocean Freight Emission Factor:</w:t>
      </w:r>
      <w:r>
        <w:t xml:space="preserve"> </w:t>
      </w:r>
      <w:r>
        <w:t xml:space="preserve">0.016 kg CO2e/tkm</w:t>
      </w:r>
    </w:p>
    <w:p>
      <w:pPr>
        <w:numPr>
          <w:ilvl w:val="0"/>
          <w:numId w:val="1005"/>
        </w:numPr>
        <w:pStyle w:val="Compact"/>
      </w:pPr>
      <w:r>
        <w:rPr>
          <w:bCs/>
          <w:b/>
        </w:rPr>
        <w:t xml:space="preserve">Road Freight Emission Factor:</w:t>
      </w:r>
      <w:r>
        <w:t xml:space="preserve"> </w:t>
      </w:r>
      <w:r>
        <w:t xml:space="preserve">0.1 kg CO2e/tkm</w:t>
      </w:r>
    </w:p>
    <w:bookmarkEnd w:id="31"/>
    <w:bookmarkStart w:id="32" w:name="use-phase-data"/>
    <w:p>
      <w:pPr>
        <w:pStyle w:val="Heading3"/>
      </w:pPr>
      <w:r>
        <w:t xml:space="preserve">4.4. Use Phase Data</w:t>
      </w:r>
    </w:p>
    <w:p>
      <w:pPr>
        <w:numPr>
          <w:ilvl w:val="0"/>
          <w:numId w:val="1006"/>
        </w:numPr>
        <w:pStyle w:val="Compact"/>
      </w:pPr>
      <w:r>
        <w:rPr>
          <w:bCs/>
          <w:b/>
        </w:rPr>
        <w:t xml:space="preserve">Product Lifespan:</w:t>
      </w:r>
      <w:r>
        <w:t xml:space="preserve"> </w:t>
      </w:r>
      <w:r>
        <w:t xml:space="preserve">7 years (parameter `fhvqstqszi`)</w:t>
      </w:r>
    </w:p>
    <w:p>
      <w:pPr>
        <w:numPr>
          <w:ilvl w:val="0"/>
          <w:numId w:val="1006"/>
        </w:numPr>
        <w:pStyle w:val="Compact"/>
      </w:pPr>
      <w:r>
        <w:rPr>
          <w:bCs/>
          <w:b/>
        </w:rPr>
        <w:t xml:space="preserve">Energy Consumption in Use:</w:t>
      </w:r>
      <w:r>
        <w:t xml:space="preserve"> </w:t>
      </w:r>
      <w:r>
        <w:t xml:space="preserve">5 kWh/year (parameter `mjlzjwinom`)</w:t>
      </w:r>
    </w:p>
    <w:p>
      <w:pPr>
        <w:numPr>
          <w:ilvl w:val="0"/>
          <w:numId w:val="1006"/>
        </w:numPr>
        <w:pStyle w:val="Compact"/>
      </w:pPr>
      <w:r>
        <w:rPr>
          <w:bCs/>
          <w:b/>
        </w:rPr>
        <w:t xml:space="preserve">Europe Average Grid Emission Factor:</w:t>
      </w:r>
      <w:r>
        <w:t xml:space="preserve"> </w:t>
      </w:r>
      <w:r>
        <w:t xml:space="preserve">0.255 kg CO2e/kWh (EU-27 2020 average)</w:t>
      </w:r>
    </w:p>
    <w:bookmarkEnd w:id="32"/>
    <w:bookmarkStart w:id="33" w:name="end-of-life-eol-scenarios"/>
    <w:p>
      <w:pPr>
        <w:pStyle w:val="Heading3"/>
      </w:pPr>
      <w:r>
        <w:t xml:space="preserve">4.5. End-of-Life (EoL) Scenarios</w:t>
      </w:r>
    </w:p>
    <w:p>
      <w:pPr>
        <w:numPr>
          <w:ilvl w:val="0"/>
          <w:numId w:val="1007"/>
        </w:numPr>
        <w:pStyle w:val="Compact"/>
      </w:pPr>
      <w:r>
        <w:rPr>
          <w:bCs/>
          <w:b/>
        </w:rPr>
        <w:t xml:space="preserve">Recyclability Percentage:</w:t>
      </w:r>
      <w:r>
        <w:t xml:space="preserve"> </w:t>
      </w:r>
      <w:r>
        <w:t xml:space="preserve">75% (parameter `rkggrwhiim`)</w:t>
      </w:r>
    </w:p>
    <w:p>
      <w:pPr>
        <w:numPr>
          <w:ilvl w:val="0"/>
          <w:numId w:val="1007"/>
        </w:numPr>
        <w:pStyle w:val="Compact"/>
      </w:pPr>
      <w:r>
        <w:rPr>
          <w:bCs/>
          <w:b/>
        </w:rPr>
        <w:t xml:space="preserve">Circular/Take-back Programs:</w:t>
      </w:r>
      <w:r>
        <w:t xml:space="preserve"> </w:t>
      </w:r>
      <w:r>
        <w:t xml:space="preserve">Product take-back scheme implemented in key European markets (parameter `ssklniylpk`)</w:t>
      </w:r>
    </w:p>
    <w:p>
      <w:pPr>
        <w:numPr>
          <w:ilvl w:val="0"/>
          <w:numId w:val="1007"/>
        </w:numPr>
        <w:pStyle w:val="Compact"/>
      </w:pPr>
      <w:r>
        <w:rPr>
          <w:bCs/>
          <w:b/>
        </w:rPr>
        <w:t xml:space="preserve">EoL Disposal Factor (Non-recycled):</w:t>
      </w:r>
      <w:r>
        <w:t xml:space="preserve"> </w:t>
      </w:r>
      <w:r>
        <w:t xml:space="preserve">Assumed 1.5 kg CO2e/kg (for mixed waste to landfill/incineration)</w:t>
      </w:r>
    </w:p>
    <w:p>
      <w:pPr>
        <w:numPr>
          <w:ilvl w:val="0"/>
          <w:numId w:val="1007"/>
        </w:numPr>
        <w:pStyle w:val="Compact"/>
      </w:pPr>
      <w:r>
        <w:rPr>
          <w:bCs/>
          <w:b/>
        </w:rPr>
        <w:t xml:space="preserve">Recycling Benefit Factor (Recycled):</w:t>
      </w:r>
      <w:r>
        <w:t xml:space="preserve"> </w:t>
      </w:r>
      <w:r>
        <w:t xml:space="preserve">Assumed -1.0 kg CO2e/kg (avoided primary production)</w:t>
      </w:r>
    </w:p>
    <w:p>
      <w:r>
        <w:pict>
          <v:rect style="width:0;height:1.5pt" o:hralign="center" o:hrstd="t" o:hr="t"/>
        </w:pict>
      </w:r>
    </w:p>
    <w:bookmarkEnd w:id="33"/>
    <w:bookmarkEnd w:id="34"/>
    <w:bookmarkStart w:id="37" w:name="emissions-calculation-step-4"/>
    <w:p>
      <w:pPr>
        <w:pStyle w:val="Heading2"/>
      </w:pPr>
      <w:r>
        <w:t xml:space="preserve">5. Emissions Calculation (Step 4)</w:t>
      </w:r>
    </w:p>
    <w:bookmarkStart w:id="35" w:name="emissions-by-lifecycle-stage"/>
    <w:p>
      <w:pPr>
        <w:pStyle w:val="Heading3"/>
      </w:pPr>
      <w:r>
        <w:t xml:space="preserve">5.1. Emissions by Lifecycle Stage</w:t>
      </w:r>
    </w:p>
    <w:p>
      <w:pPr>
        <w:pStyle w:val="FirstParagraph"/>
      </w:pPr>
      <w:r>
        <w:t xml:space="preserve">The following table summarizes the calculated emissions for each stage of unghhygvwy\'s lifecycle per functional unit:</w:t>
      </w:r>
    </w:p>
    <w:tbl>
      <w:tblPr>
        <w:tblStyle w:val="Table"/>
        <w:tblW w:type="pct" w:w="500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Calculated Emissions (kg CO2e)</w:t>
            </w:r>
          </w:p>
        </w:tc>
        <w:tc>
          <w:tcPr/>
          <w:p>
            <w:pPr>
              <w:pStyle w:val="Compact"/>
              <w:jc w:val="left"/>
            </w:pPr>
            <w:r>
              <w:t xml:space="preserve">Details</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2.545</w:t>
            </w:r>
          </w:p>
        </w:tc>
        <w:tc>
          <w:tcPr/>
          <w:p>
            <w:pPr>
              <w:pStyle w:val="Compact"/>
              <w:jc w:val="left"/>
            </w:pPr>
            <w:r>
              <w:t xml:space="preserve">Sum of \'Total Carbon\' from detailed BOM (zjhutrdm).</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0.543</w:t>
            </w:r>
          </w:p>
        </w:tc>
        <w:tc>
          <w:tcPr/>
          <w:p>
            <w:pPr>
              <w:pStyle w:val="Compact"/>
              <w:jc w:val="left"/>
            </w:pPr>
            <w:r>
              <w:t xml:space="preserve">2.5 kWh/unit * (1 - 0.65) * 0.6205 kg CO2e/kWh (China Grid EF).</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0.180</w:t>
            </w:r>
          </w:p>
        </w:tc>
        <w:tc>
          <w:tcPr/>
          <w:p>
            <w:pPr>
              <w:pStyle w:val="Compact"/>
              <w:jc w:val="left"/>
            </w:pPr>
            <w:r>
              <w:t xml:space="preserve">0.65kg product:</w:t>
            </w:r>
            <w:r>
              <w:br/>
            </w:r>
            <w:r>
              <w:t xml:space="preserve">- Ocean (12,000 km): 0.125 kg CO2e</w:t>
            </w:r>
            <w:r>
              <w:br/>
            </w:r>
            <w:r>
              <w:t xml:space="preserve">- Road (800 km): 0.052 kg CO2e</w:t>
            </w:r>
            <w:r>
              <w:br/>
            </w:r>
            <w:r>
              <w:t xml:space="preserve">- Last-Mile (50 km): 0.003 kg CO2e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8.925</w:t>
            </w:r>
          </w:p>
        </w:tc>
        <w:tc>
          <w:tcPr/>
          <w:p>
            <w:pPr>
              <w:pStyle w:val="Compact"/>
              <w:jc w:val="left"/>
            </w:pPr>
            <w:r>
              <w:t xml:space="preserve">7 years * 5 kWh/year * 0.255 kg CO2e/kWh (Europe Grid EF).</w:t>
            </w:r>
          </w:p>
        </w:tc>
      </w:tr>
      <w:tr>
        <w:tc>
          <w:tcPr/>
          <w:p>
            <w:pPr>
              <w:pStyle w:val="Compact"/>
              <w:jc w:val="left"/>
            </w:pPr>
            <w:r>
              <w:t xml:space="preserve">End-of-Life (EoL)</w:t>
            </w:r>
          </w:p>
        </w:tc>
        <w:tc>
          <w:tcPr/>
          <w:p>
            <w:pPr>
              <w:pStyle w:val="Compact"/>
              <w:jc w:val="left"/>
            </w:pPr>
            <w:r>
              <w:t xml:space="preserve">Scope 3 (Category 12)</w:t>
            </w:r>
          </w:p>
        </w:tc>
        <w:tc>
          <w:tcPr/>
          <w:p>
            <w:pPr>
              <w:pStyle w:val="Compact"/>
              <w:jc w:val="left"/>
            </w:pPr>
            <w:r>
              <w:t xml:space="preserve">-0.244</w:t>
            </w:r>
          </w:p>
        </w:tc>
        <w:tc>
          <w:tcPr/>
          <w:p>
            <w:pPr>
              <w:pStyle w:val="Compact"/>
              <w:jc w:val="left"/>
            </w:pPr>
            <w:r>
              <w:t xml:space="preserve">0.65kg product:</w:t>
            </w:r>
            <w:r>
              <w:br/>
            </w:r>
            <w:r>
              <w:t xml:space="preserve">- 25% disposal: 0.1625 kg * 1.5 kgCO2e/kg = 0.244 kg CO2e</w:t>
            </w:r>
            <w:r>
              <w:br/>
            </w:r>
            <w:r>
              <w:t xml:space="preserve">- 75% recycling: 0.4875 kg * -1.0 kgCO2e/kg = -0.488 kg CO2e</w:t>
            </w:r>
          </w:p>
        </w:tc>
      </w:tr>
      <w:tr>
        <w:tc>
          <w:tcPr>
            <w:gridSpan w:val="2"/>
          </w:tcPr>
          <w:p>
            <w:pPr>
              <w:pStyle w:val="Compact"/>
              <w:jc w:val="right"/>
            </w:pPr>
            <w:r>
              <w:t xml:space="preserve">TOTAL PRODUCT CARBON FOOTPRINT:</w:t>
            </w:r>
          </w:p>
        </w:tc>
        <w:tc>
          <w:tcPr/>
          <w:p>
            <w:pPr>
              <w:pStyle w:val="Compact"/>
              <w:jc w:val="left"/>
            </w:pPr>
            <w:r>
              <w:rPr>
                <w:bCs/>
                <w:b/>
              </w:rPr>
              <w:t xml:space="preserve">11.949 kg CO2e</w:t>
            </w:r>
          </w:p>
        </w:tc>
        <w:tc>
          <w:tcPr/>
          <w:p>
            <w:pPr>
              <w:pStyle w:val="Compact"/>
            </w:pPr>
          </w:p>
        </w:tc>
      </w:tr>
    </w:tbl>
    <w:bookmarkEnd w:id="35"/>
    <w:bookmarkStart w:id="36" w:name="summary-of-ghg-protocol-scopes"/>
    <w:p>
      <w:pPr>
        <w:pStyle w:val="Heading3"/>
      </w:pPr>
      <w:r>
        <w:t xml:space="preserve">5.2. Summary of GHG Protocol Scopes</w:t>
      </w:r>
    </w:p>
    <w:p>
      <w:pPr>
        <w:pStyle w:val="FirstParagraph"/>
      </w:pPr>
      <w:r>
        <w:t xml:space="preserve">The total PCF of</w:t>
      </w:r>
      <w:r>
        <w:t xml:space="preserve"> </w:t>
      </w:r>
      <w:r>
        <w:rPr>
          <w:bCs/>
          <w:b/>
        </w:rPr>
        <w:t xml:space="preserve">11.949 kg CO2e</w:t>
      </w:r>
      <w:r>
        <w:t xml:space="preserve"> </w:t>
      </w:r>
      <w:r>
        <w:t xml:space="preserve">for one functional unit of unghhygvwy is broken down by GHG Protocol scopes as follows:</w:t>
      </w:r>
    </w:p>
    <w:p>
      <w:pPr>
        <w:numPr>
          <w:ilvl w:val="0"/>
          <w:numId w:val="1008"/>
        </w:numPr>
        <w:pStyle w:val="Compact"/>
      </w:pPr>
      <w:r>
        <w:rPr>
          <w:bCs/>
          <w:b/>
        </w:rPr>
        <w:t xml:space="preserve">Scope 1:</w:t>
      </w:r>
      <w:r>
        <w:t xml:space="preserve"> </w:t>
      </w:r>
      <w:r>
        <w:t xml:space="preserve">0.000 kg CO2e (No significant direct process emissions identified for the product manufacturing beyond electricity use, which is Scope 2).</w:t>
      </w:r>
    </w:p>
    <w:p>
      <w:pPr>
        <w:numPr>
          <w:ilvl w:val="0"/>
          <w:numId w:val="1008"/>
        </w:numPr>
        <w:pStyle w:val="Compact"/>
      </w:pPr>
      <w:r>
        <w:rPr>
          <w:bCs/>
          <w:b/>
        </w:rPr>
        <w:t xml:space="preserve">Scope 2:</w:t>
      </w:r>
      <w:r>
        <w:t xml:space="preserve"> </w:t>
      </w:r>
      <w:r>
        <w:t xml:space="preserve">0.543 kg CO2e (From purchased electricity for production in China).</w:t>
      </w:r>
    </w:p>
    <w:p>
      <w:pPr>
        <w:numPr>
          <w:ilvl w:val="0"/>
          <w:numId w:val="1008"/>
        </w:numPr>
        <w:pStyle w:val="Compact"/>
      </w:pPr>
      <w:r>
        <w:rPr>
          <w:bCs/>
          <w:b/>
        </w:rPr>
        <w:t xml:space="preserve">Scope 3:</w:t>
      </w:r>
      <w:r>
        <w:t xml:space="preserve"> </w:t>
      </w:r>
      <w:r>
        <w:t xml:space="preserve">11.406 kg CO2e (Encompassing materials, transport, use phase, and end-of-life).</w:t>
      </w:r>
    </w:p>
    <w:p>
      <w:pPr>
        <w:numPr>
          <w:ilvl w:val="1"/>
          <w:numId w:val="1009"/>
        </w:numPr>
        <w:pStyle w:val="Compact"/>
      </w:pPr>
      <w:r>
        <w:t xml:space="preserve">Category 1 (Purchased Goods &amp; Services - Materials): 2.545 kg CO2e</w:t>
      </w:r>
    </w:p>
    <w:p>
      <w:pPr>
        <w:numPr>
          <w:ilvl w:val="1"/>
          <w:numId w:val="1009"/>
        </w:numPr>
        <w:pStyle w:val="Compact"/>
      </w:pPr>
      <w:r>
        <w:t xml:space="preserve">Category 4 (Upstream Transportation &amp; Distribution): 0.180 kg CO2e</w:t>
      </w:r>
    </w:p>
    <w:p>
      <w:pPr>
        <w:numPr>
          <w:ilvl w:val="1"/>
          <w:numId w:val="1009"/>
        </w:numPr>
        <w:pStyle w:val="Compact"/>
      </w:pPr>
      <w:r>
        <w:t xml:space="preserve">Category 9 (Downstream Transportation &amp; Distribution - Last Mile): Included in Transport</w:t>
      </w:r>
    </w:p>
    <w:p>
      <w:pPr>
        <w:numPr>
          <w:ilvl w:val="1"/>
          <w:numId w:val="1009"/>
        </w:numPr>
        <w:pStyle w:val="Compact"/>
      </w:pPr>
      <w:r>
        <w:t xml:space="preserve">Category 11 (Use of Sold Products): 8.925 kg CO2e</w:t>
      </w:r>
    </w:p>
    <w:p>
      <w:pPr>
        <w:numPr>
          <w:ilvl w:val="1"/>
          <w:numId w:val="1009"/>
        </w:numPr>
        <w:pStyle w:val="Compact"/>
      </w:pPr>
      <w:r>
        <w:t xml:space="preserve">Category 12 (End-of-Life Treatment of Sold Products): -0.244 kg CO2e</w:t>
      </w:r>
    </w:p>
    <w:p>
      <w:r>
        <w:pict>
          <v:rect style="width:0;height:1.5pt" o:hralign="center" o:hrstd="t" o:hr="t"/>
        </w:pict>
      </w:r>
    </w:p>
    <w:bookmarkEnd w:id="36"/>
    <w:bookmarkEnd w:id="37"/>
    <w:bookmarkStart w:id="40" w:name="review-reporting-step-5"/>
    <w:p>
      <w:pPr>
        <w:pStyle w:val="Heading2"/>
      </w:pPr>
      <w:r>
        <w:t xml:space="preserve">6. Review &amp; Reporting (Step 5)</w:t>
      </w:r>
    </w:p>
    <w:bookmarkStart w:id="38" w:name="hotspot-identification"/>
    <w:p>
      <w:pPr>
        <w:pStyle w:val="Heading3"/>
      </w:pPr>
      <w:r>
        <w:t xml:space="preserve">6.1. Hotspot Identification</w:t>
      </w:r>
    </w:p>
    <w:p>
      <w:pPr>
        <w:pStyle w:val="FirstParagraph"/>
      </w:pPr>
      <w:r>
        <w:t xml:space="preserve">The analysis reveals the following major carbon hotspots for unghhygvwy:</w:t>
      </w:r>
    </w:p>
    <w:p>
      <w:pPr>
        <w:numPr>
          <w:ilvl w:val="0"/>
          <w:numId w:val="1010"/>
        </w:numPr>
        <w:pStyle w:val="Compact"/>
      </w:pPr>
      <w:r>
        <w:rPr>
          <w:bCs/>
          <w:b/>
        </w:rPr>
        <w:t xml:space="preserve">Use Phase (8.925 kg CO2e):</w:t>
      </w:r>
      <w:r>
        <w:t xml:space="preserve"> </w:t>
      </w:r>
      <w:r>
        <w:t xml:space="preserve">This is by far the largest contributor, accounting for approximately 75% of the total PCF. This is driven by the product\'s lifespan and its annual energy consumption, multiplied by the grid emission factor of electricity in Europe.</w:t>
      </w:r>
    </w:p>
    <w:p>
      <w:pPr>
        <w:numPr>
          <w:ilvl w:val="0"/>
          <w:numId w:val="1010"/>
        </w:numPr>
        <w:pStyle w:val="Compact"/>
      </w:pPr>
      <w:r>
        <w:rPr>
          <w:bCs/>
          <w:b/>
        </w:rPr>
        <w:t xml:space="preserve">Material Acquisition &amp; Pre-processing (2.545 kg CO2e):</w:t>
      </w:r>
      <w:r>
        <w:t xml:space="preserve"> </w:t>
      </w:r>
      <w:r>
        <w:t xml:space="preserve">Materials contribute about 21% of the total footprint, with the Circuit Board showing a high individual impact due to its complexity and associated manufacturing processes.</w:t>
      </w:r>
    </w:p>
    <w:p>
      <w:pPr>
        <w:numPr>
          <w:ilvl w:val="0"/>
          <w:numId w:val="1010"/>
        </w:numPr>
        <w:pStyle w:val="Compact"/>
      </w:pPr>
      <w:r>
        <w:rPr>
          <w:bCs/>
          <w:b/>
        </w:rPr>
        <w:t xml:space="preserve">Production (0.543 kg CO2e):</w:t>
      </w:r>
      <w:r>
        <w:t xml:space="preserve"> </w:t>
      </w:r>
      <w:r>
        <w:t xml:space="preserve">While significant, the production energy impact is mitigated by nplfvgqyvg\'s 65% renewable energy usage. Without this, the emissions would be considerably higher.</w:t>
      </w:r>
    </w:p>
    <w:bookmarkEnd w:id="38"/>
    <w:bookmarkStart w:id="39" w:name="reliability-and-recommendations"/>
    <w:p>
      <w:pPr>
        <w:pStyle w:val="Heading3"/>
      </w:pPr>
      <w:r>
        <w:t xml:space="preserve">6.2. Reliability and Recommendations</w:t>
      </w:r>
    </w:p>
    <w:p>
      <w:pPr>
        <w:pStyle w:val="FirstParagraph"/>
      </w:pPr>
      <w:r>
        <w:t xml:space="preserve">The reliability of this report is high for the stages where primary data (BOM, specific energy usage) was provided. For other stages, industry-average emission factors were used, which provide a robust estimate but could be further refined with more specific, primary data for supplier operations (e.g., actual transport routes, energy mix of material suppliers).</w:t>
      </w:r>
    </w:p>
    <w:p>
      <w:pPr>
        <w:pStyle w:val="BodyText"/>
      </w:pPr>
      <w:r>
        <w:rPr>
          <w:bCs/>
          <w:b/>
        </w:rPr>
        <w:t xml:space="preserve">Recommendations for nplfvgqyvg:</w:t>
      </w:r>
    </w:p>
    <w:p>
      <w:pPr>
        <w:numPr>
          <w:ilvl w:val="0"/>
          <w:numId w:val="1011"/>
        </w:numPr>
        <w:pStyle w:val="Compact"/>
      </w:pPr>
      <w:r>
        <w:rPr>
          <w:bCs/>
          <w:b/>
        </w:rPr>
        <w:t xml:space="preserve">Prioritize Use Phase Optimization:</w:t>
      </w:r>
      <w:r>
        <w:t xml:space="preserve"> </w:t>
      </w:r>
      <w:r>
        <w:t xml:space="preserve">Invest in R&amp;D to improve the energy efficiency of unghhygvwy during its operational life. Explore low-power components, optimize software for reduced energy draw, or investigate alternative power sources.</w:t>
      </w:r>
    </w:p>
    <w:p>
      <w:pPr>
        <w:numPr>
          <w:ilvl w:val="0"/>
          <w:numId w:val="1011"/>
        </w:numPr>
        <w:pStyle w:val="Compact"/>
      </w:pPr>
      <w:r>
        <w:rPr>
          <w:bCs/>
          <w:b/>
        </w:rPr>
        <w:t xml:space="preserve">Material Impact Reduction:</w:t>
      </w:r>
      <w:r>
        <w:t xml:space="preserve"> </w:t>
      </w:r>
      <w:r>
        <w:t xml:space="preserve">Investigate opportunities to use lower-carbon alternative materials for the Plastic Casing and Circuit Board, or work with suppliers to reduce the embedded emissions of these components.</w:t>
      </w:r>
    </w:p>
    <w:p>
      <w:pPr>
        <w:numPr>
          <w:ilvl w:val="0"/>
          <w:numId w:val="1011"/>
        </w:numPr>
        <w:pStyle w:val="Compact"/>
      </w:pPr>
      <w:r>
        <w:rPr>
          <w:bCs/>
          <w:b/>
        </w:rPr>
        <w:t xml:space="preserve">Expand Renewable Energy:</w:t>
      </w:r>
      <w:r>
        <w:t xml:space="preserve"> </w:t>
      </w:r>
      <w:r>
        <w:t xml:space="preserve">Further increase the percentage of renewable energy used in the production facility in China, and explore opportunities to influence renewable energy adoption in the upstream supply chain.</w:t>
      </w:r>
    </w:p>
    <w:p>
      <w:pPr>
        <w:numPr>
          <w:ilvl w:val="0"/>
          <w:numId w:val="1011"/>
        </w:numPr>
        <w:pStyle w:val="Compact"/>
      </w:pPr>
      <w:r>
        <w:rPr>
          <w:bCs/>
          <w:b/>
        </w:rPr>
        <w:t xml:space="preserve">Enhance Circularity:</w:t>
      </w:r>
      <w:r>
        <w:t xml:space="preserve"> </w:t>
      </w:r>
      <w:r>
        <w:t xml:space="preserve">Leverage the "Product take-back scheme" to ensure higher actual recycling rates and explore opportunities for material reuse to further reduce End-of-Life impacts and potentially generate greater circularity benefits.</w:t>
      </w:r>
    </w:p>
    <w:p>
      <w:pPr>
        <w:numPr>
          <w:ilvl w:val="0"/>
          <w:numId w:val="1011"/>
        </w:numPr>
        <w:pStyle w:val="Compact"/>
      </w:pPr>
      <w:r>
        <w:rPr>
          <w:bCs/>
          <w:b/>
        </w:rPr>
        <w:t xml:space="preserve">Supplier Engagement:</w:t>
      </w:r>
      <w:r>
        <w:t xml:space="preserve"> </w:t>
      </w:r>
      <w:r>
        <w:t xml:space="preserve">Work closely with material and logistics suppliers to collect more specific primary data on their operational emissions, especially for Scope 3 reporting accuracy.</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unghhygvwy</dc:title>
  <dc:creator/>
  <dc:description>Detailed Product Carbon Footprint (PCF) analysis for unghhygvwy, following GHG Protocol standards and 2026 LSR Update, performed by Senior Sustainability Consultant ihozlkqdrn for nplfvgqyvg.</dc:description>
  <dc:language>en</dc:language>
  <cp:keywords/>
  <dcterms:created xsi:type="dcterms:W3CDTF">2026-07-15T08:43:26Z</dcterms:created>
  <dcterms:modified xsi:type="dcterms:W3CDTF">2026-07-15T08:43:26Z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