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umztsopwxq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umztsopwxq</w:t>
      </w:r>
    </w:p>
    <w:p>
      <w:pPr>
        <w:pStyle w:val="BodyText"/>
      </w:pPr>
      <w:r>
        <w:rPr>
          <w:bCs/>
          <w:b/>
        </w:rPr>
        <w:t xml:space="preserve">Company Name:</w:t>
      </w:r>
      <w:r>
        <w:t xml:space="preserve"> </w:t>
      </w:r>
      <w:r>
        <w:t xml:space="preserve">eullvyyivj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mzoduwdsuk</w:t>
      </w:r>
    </w:p>
    <w:p>
      <w:pPr>
        <w:pStyle w:val="BodyText"/>
      </w:pPr>
      <w:r>
        <w:t xml:space="preserve">Disclaimer: This report is generated based on available data and industry standards. While efforts have been made to ensure accuracy, the results are illustrative and depend on the quality and completeness of the input data and assumptions made for placeholder parameters.</w:t>
      </w:r>
    </w:p>
    <w:bookmarkEnd w:id="20"/>
    <w:bookmarkStart w:id="21" w:name="Xe4de4dbe83672d1356fbe3bda0751cbfda653c5"/>
    <w:p>
      <w:pPr>
        <w:pStyle w:val="Heading1"/>
      </w:pPr>
      <w:r>
        <w:t xml:space="preserve">Product Carbon Footprint Report for umztsopwxq</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mzoduwdsuk</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\'umztsopwxq\', manufactured by \'eullvyyivj\'. Conducted by mzoduwdsuk, a Senior Sustainability Consultant specializing in the GHG Protocol, this analysis quantifies the greenhouse gas (GHG) emissions across the product\'s lifecycle. The methodology strictly adheres to the GHG Protocol standards, including the 2026 Land Sector and Removals (LSR) update and ensuring at least 95% Scope 3 coverage. Key insights highlight emission hotspots and areas for potential reduction, providing \'eullvyyivj\' with actionable data for its sustainability initiatives.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parameters that establish the boundaries and context for the Product Carbon Footprint analysis.</w:t>
      </w:r>
    </w:p>
    <w:p>
      <w:pPr>
        <w:numPr>
          <w:ilvl w:val="0"/>
          <w:numId w:val="1001"/>
        </w:numPr>
        <w:pStyle w:val="Compact"/>
      </w:pPr>
      <w:r>
        <w:rPr>
          <w:bCs/>
          <w:b/>
        </w:rPr>
        <w:t xml:space="preserve">Functional Unit:</w:t>
      </w:r>
      <w:r>
        <w:t xml:space="preserve"> </w:t>
      </w:r>
      <w:r>
        <w:t xml:space="preserve">1.0 unit of umztsopwxq</w:t>
      </w:r>
    </w:p>
    <w:p>
      <w:pPr>
        <w:numPr>
          <w:ilvl w:val="0"/>
          <w:numId w:val="1001"/>
        </w:numPr>
        <w:pStyle w:val="Compact"/>
      </w:pPr>
      <w:r>
        <w:rPr>
          <w:bCs/>
          <w:b/>
        </w:rPr>
        <w:t xml:space="preserve">System Boundary:</w:t>
      </w:r>
      <w:r>
        <w:t xml:space="preserve"> </w:t>
      </w:r>
      <w:r>
        <w:t xml:space="preserve">factory_gate (cradle-to-gate) with extended analysis for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in the value chain). The analysis also integrates the 2026 Land Sector and Removals (LSR) Standard for land use and carbon removals, and ensures over 95% coverage for Scope 3 reporting as per 2026 requirements.</w:t>
      </w:r>
    </w:p>
    <w:p>
      <w:pPr>
        <w:pStyle w:val="FirstParagraph"/>
      </w:pPr>
      <w:r>
        <w:rPr>
          <w:bCs/>
          <w:b/>
        </w:rPr>
        <w:t xml:space="preserve">Allocation:</w:t>
      </w:r>
      <w:r>
        <w:t xml:space="preserve"> </w:t>
      </w:r>
      <w:r>
        <w:t xml:space="preserve">Emissions are allocated directly to the functional unit based on mass, energy consumption, and distance-based transport. Co-product and recycling allocations are handled through a closed-loop approach where applicable for end-of-life scenarios.</w:t>
      </w:r>
    </w:p>
    <w:p>
      <w:r>
        <w:pict>
          <v:rect style="width:0;height:1.5pt" o:hralign="center" o:hrstd="t" o:hr="t"/>
        </w:pict>
      </w:r>
    </w:p>
    <w:bookmarkEnd w:id="23"/>
    <w:bookmarkStart w:id="29" w:name="X07446f1d75e7f4027df09f2492f7984d920c3e2"/>
    <w:p>
      <w:pPr>
        <w:pStyle w:val="Heading2"/>
      </w:pPr>
      <w:r>
        <w:t xml:space="preserve">2. Lifecycle Mapping &amp; Data Collection (LCI Inventory Stages)</w:t>
      </w:r>
    </w:p>
    <w:p>
      <w:pPr>
        <w:pStyle w:val="FirstParagraph"/>
      </w:pPr>
      <w:r>
        <w:t xml:space="preserve">The lifecycle of \'umztsopwxq\' is mapped across key stages, from material acquisition to End-of-Life. Data was collected from provided parameters, with assumptions made for placeholder values for calculation purposes, as explicitly noted.</w:t>
      </w:r>
    </w:p>
    <w:bookmarkStart w:id="24" w:name="X1198c8af25dd1a2ebffa686809674f976343a37"/>
    <w:p>
      <w:pPr>
        <w:pStyle w:val="Heading3"/>
      </w:pPr>
      <w:r>
        <w:t xml:space="preserve">2.1. Material Acquisition &amp; Pre-processing (Scope 3 - Upstream)</w:t>
      </w:r>
    </w:p>
    <w:p>
      <w:pPr>
        <w:pStyle w:val="FirstParagraph"/>
      </w:pPr>
      <w:r>
        <w:t xml:space="preserve">The detailed Bill of Materials (BOM) for umztsopwxq is based on the provided input: vnrswdqj. For the purpose of calculation, this string was interpreted as structured data representing multiple BOM items, each with an associated "Total Carbon" value.</w:t>
      </w:r>
    </w:p>
    <w:p>
      <w:pPr>
        <w:pStyle w:val="BodyText"/>
      </w:pPr>
      <w:r>
        <w:rPr>
          <w:bCs/>
          <w:b/>
        </w:rPr>
        <w:t xml:space="preserve">Assumed BOM Data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Component A</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3.5</w:t>
            </w:r>
          </w:p>
        </w:tc>
        <w:tc>
          <w:tcPr/>
          <w:p>
            <w:pPr>
              <w:pStyle w:val="Compact"/>
              <w:jc w:val="left"/>
            </w:pPr>
            <w:r>
              <w:t xml:space="preserve">7.0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bl>
    <w:p>
      <w:pPr>
        <w:pStyle w:val="BodyText"/>
      </w:pPr>
      <w:r>
        <w:rPr>
          <w:bCs/>
          <w:b/>
        </w:rPr>
        <w:t xml:space="preserve">Total Material Impact from BOM:</w:t>
      </w:r>
      <w:r>
        <w:t xml:space="preserve"> </w:t>
      </w:r>
      <w:r>
        <w:t xml:space="preserve">24.0 kgCO2e</w:t>
      </w:r>
    </w:p>
    <w:bookmarkEnd w:id="24"/>
    <w:bookmarkStart w:id="25" w:name="Xaabddd4adae45b3b5f5fb348b9377508f0db251"/>
    <w:p>
      <w:pPr>
        <w:pStyle w:val="Heading3"/>
      </w:pPr>
      <w:r>
        <w:t xml:space="preserve">2.2. Manufacturing &amp; Production (Scope 1 &amp; 2, partially Scope 3 Upstream)</w:t>
      </w:r>
    </w:p>
    <w:p>
      <w:pPr>
        <w:pStyle w:val="FirstParagraph"/>
      </w:pPr>
      <w:r>
        <w:t xml:space="preserve">This stage covers the energy consumption and direct emissions during the assembly and production of \'umztsopwxq\' in China.</w:t>
      </w:r>
    </w:p>
    <w:p>
      <w:pPr>
        <w:numPr>
          <w:ilvl w:val="0"/>
          <w:numId w:val="1003"/>
        </w:numPr>
        <w:pStyle w:val="Compact"/>
      </w:pPr>
      <w:r>
        <w:rPr>
          <w:bCs/>
          <w:b/>
        </w:rPr>
        <w:t xml:space="preserve">Energy Intensity (kWh/unit):</w:t>
      </w:r>
      <w:r>
        <w:t xml:space="preserve"> </w:t>
      </w:r>
      <w:r>
        <w:t xml:space="preserve">qzkzzvhkkn. For calculation, assumed as 50 kWh/unit.</w:t>
      </w:r>
    </w:p>
    <w:p>
      <w:pPr>
        <w:numPr>
          <w:ilvl w:val="0"/>
          <w:numId w:val="1003"/>
        </w:numPr>
        <w:pStyle w:val="Compact"/>
      </w:pPr>
      <w:r>
        <w:rPr>
          <w:bCs/>
          <w:b/>
        </w:rPr>
        <w:t xml:space="preserve">Renewable Energy Usage:</w:t>
      </w:r>
      <w:r>
        <w:t xml:space="preserve"> </w:t>
      </w:r>
      <w:r>
        <w:t xml:space="preserve">vtvsteqxin. For calculation, assumed as 70% renewable energy procurement.</w:t>
      </w:r>
    </w:p>
    <w:p>
      <w:pPr>
        <w:numPr>
          <w:ilvl w:val="0"/>
          <w:numId w:val="1003"/>
        </w:numPr>
        <w:pStyle w:val="Compact"/>
      </w:pPr>
      <w:r>
        <w:rPr>
          <w:bCs/>
          <w:b/>
        </w:rPr>
        <w:t xml:space="preserve">Assumed Electricity Grid Mix (China):</w:t>
      </w:r>
      <w:r>
        <w:t xml:space="preserve"> </w:t>
      </w:r>
      <w:r>
        <w:t xml:space="preserve">0.6 kgCO2e/kWh.</w:t>
      </w:r>
    </w:p>
    <w:p>
      <w:pPr>
        <w:numPr>
          <w:ilvl w:val="0"/>
          <w:numId w:val="1003"/>
        </w:numPr>
        <w:pStyle w:val="Compact"/>
      </w:pPr>
      <w:r>
        <w:rPr>
          <w:bCs/>
          <w:b/>
        </w:rPr>
        <w:t xml:space="preserve">Assumed Renewable Electricity Factor:</w:t>
      </w:r>
      <w:r>
        <w:t xml:space="preserve"> </w:t>
      </w:r>
      <w:r>
        <w:t xml:space="preserve">0.05 kgCO2e/kWh (accounting for infrastructure and residual emissions).</w:t>
      </w:r>
    </w:p>
    <w:bookmarkEnd w:id="25"/>
    <w:bookmarkStart w:id="26" w:name="X9795cd1974d18f66faafdaafe7a0219ede81315"/>
    <w:p>
      <w:pPr>
        <w:pStyle w:val="Heading3"/>
      </w:pPr>
      <w:r>
        <w:t xml:space="preserve">2.3. Transport &amp; Logistics (Scope 3 - Upstream &amp; Downstream)</w:t>
      </w:r>
    </w:p>
    <w:p>
      <w:pPr>
        <w:pStyle w:val="FirstParagraph"/>
      </w:pPr>
      <w:r>
        <w:t xml:space="preserve">Logistics emissions cover the transportation of raw materials to the manufacturing facility and the finished product to the market.</w:t>
      </w:r>
    </w:p>
    <w:p>
      <w:pPr>
        <w:numPr>
          <w:ilvl w:val="0"/>
          <w:numId w:val="1004"/>
        </w:numPr>
        <w:pStyle w:val="Compact"/>
      </w:pPr>
      <w:r>
        <w:rPr>
          <w:bCs/>
          <w:b/>
        </w:rPr>
        <w:t xml:space="preserve">Primary Transport Mode:</w:t>
      </w:r>
      <w:r>
        <w:t xml:space="preserve"> </w:t>
      </w:r>
      <w:r>
        <w:t xml:space="preserve">Select Mode. For calculation, assumed as Road Freight (HGV).</w:t>
      </w:r>
    </w:p>
    <w:p>
      <w:pPr>
        <w:numPr>
          <w:ilvl w:val="0"/>
          <w:numId w:val="1004"/>
        </w:numPr>
        <w:pStyle w:val="Compact"/>
      </w:pPr>
      <w:r>
        <w:rPr>
          <w:bCs/>
          <w:b/>
        </w:rPr>
        <w:t xml:space="preserve">Transport Distance:</w:t>
      </w:r>
      <w:r>
        <w:t xml:space="preserve"> </w:t>
      </w:r>
      <w:r>
        <w:t xml:space="preserve">ufkmuythus. For calculation, assumed as 1500 km (average distance for European supply chain to China production).</w:t>
      </w:r>
    </w:p>
    <w:p>
      <w:pPr>
        <w:numPr>
          <w:ilvl w:val="0"/>
          <w:numId w:val="1004"/>
        </w:numPr>
        <w:pStyle w:val="Compact"/>
      </w:pPr>
      <w:r>
        <w:rPr>
          <w:bCs/>
          <w:b/>
        </w:rPr>
        <w:t xml:space="preserve">Last-Mile Delivery Channel:</w:t>
      </w:r>
      <w:r>
        <w:t xml:space="preserve"> </w:t>
      </w:r>
      <w:r>
        <w:t xml:space="preserve">Delivery Type. For calculation, assumed as Parcel Delivery Van.</w:t>
      </w:r>
    </w:p>
    <w:p>
      <w:pPr>
        <w:numPr>
          <w:ilvl w:val="0"/>
          <w:numId w:val="1004"/>
        </w:numPr>
        <w:pStyle w:val="Compact"/>
      </w:pPr>
      <w:r>
        <w:rPr>
          <w:bCs/>
          <w:b/>
        </w:rPr>
        <w:t xml:space="preserve">Assumed Last-Mile Distance:</w:t>
      </w:r>
      <w:r>
        <w:t xml:space="preserve"> </w:t>
      </w:r>
      <w:r>
        <w:t xml:space="preserve">50 km.</w:t>
      </w:r>
    </w:p>
    <w:p>
      <w:pPr>
        <w:numPr>
          <w:ilvl w:val="0"/>
          <w:numId w:val="1004"/>
        </w:numPr>
        <w:pStyle w:val="Compact"/>
      </w:pPr>
      <w:r>
        <w:rPr>
          <w:bCs/>
          <w:b/>
        </w:rPr>
        <w:t xml:space="preserve">Assumed Product Weight:</w:t>
      </w:r>
      <w:r>
        <w:t xml:space="preserve"> </w:t>
      </w:r>
      <w:r>
        <w:t xml:space="preserve">Approximately 7.6 kg (derived from sum of quantities in BOM).</w:t>
      </w:r>
    </w:p>
    <w:p>
      <w:pPr>
        <w:numPr>
          <w:ilvl w:val="0"/>
          <w:numId w:val="1004"/>
        </w:numPr>
        <w:pStyle w:val="Compact"/>
      </w:pPr>
      <w:r>
        <w:rPr>
          <w:bCs/>
          <w:b/>
        </w:rPr>
        <w:t xml:space="preserve">Assumed Road Freight Emission Factor (HGV):</w:t>
      </w:r>
      <w:r>
        <w:t xml:space="preserve"> </w:t>
      </w:r>
      <w:r>
        <w:t xml:space="preserve">0.09 kgCO2e/tonne-km.</w:t>
      </w:r>
    </w:p>
    <w:p>
      <w:pPr>
        <w:numPr>
          <w:ilvl w:val="0"/>
          <w:numId w:val="1004"/>
        </w:numPr>
        <w:pStyle w:val="Compact"/>
      </w:pPr>
      <w:r>
        <w:rPr>
          <w:bCs/>
          <w:b/>
        </w:rPr>
        <w:t xml:space="preserve">Assumed Parcel Delivery Van Emission Factor:</w:t>
      </w:r>
      <w:r>
        <w:t xml:space="preserve"> </w:t>
      </w:r>
      <w:r>
        <w:t xml:space="preserve">0.1 kgCO2e/km (per unit).</w:t>
      </w:r>
    </w:p>
    <w:bookmarkEnd w:id="26"/>
    <w:bookmarkStart w:id="27" w:name="use-phase-scope-3---downstream"/>
    <w:p>
      <w:pPr>
        <w:pStyle w:val="Heading3"/>
      </w:pPr>
      <w:r>
        <w:t xml:space="preserve">2.4. Use Phase (Scope 3 - Downstream)</w:t>
      </w:r>
    </w:p>
    <w:p>
      <w:pPr>
        <w:pStyle w:val="FirstParagraph"/>
      </w:pPr>
      <w:r>
        <w:t xml:space="preserve">Emissions during the product\'s operational life by the end-user.</w:t>
      </w:r>
    </w:p>
    <w:p>
      <w:pPr>
        <w:numPr>
          <w:ilvl w:val="0"/>
          <w:numId w:val="1005"/>
        </w:numPr>
        <w:pStyle w:val="Compact"/>
      </w:pPr>
      <w:r>
        <w:rPr>
          <w:bCs/>
          <w:b/>
        </w:rPr>
        <w:t xml:space="preserve">Product Lifespan:</w:t>
      </w:r>
      <w:r>
        <w:t xml:space="preserve"> </w:t>
      </w:r>
      <w:r>
        <w:t xml:space="preserve">tzwetoyfdz. For calculation, assumed as 5 years.</w:t>
      </w:r>
    </w:p>
    <w:p>
      <w:pPr>
        <w:numPr>
          <w:ilvl w:val="0"/>
          <w:numId w:val="1005"/>
        </w:numPr>
        <w:pStyle w:val="Compact"/>
      </w:pPr>
      <w:r>
        <w:rPr>
          <w:bCs/>
          <w:b/>
        </w:rPr>
        <w:t xml:space="preserve">Energy Consumption in Use:</w:t>
      </w:r>
      <w:r>
        <w:t xml:space="preserve"> </w:t>
      </w:r>
      <w:r>
        <w:t xml:space="preserve">lslxurxrto. For calculation, assumed as 20 kWh/year.</w:t>
      </w:r>
    </w:p>
    <w:bookmarkEnd w:id="27"/>
    <w:bookmarkStart w:id="28" w:name="end-of-life-eol-scope-3---downstream"/>
    <w:p>
      <w:pPr>
        <w:pStyle w:val="Heading3"/>
      </w:pPr>
      <w:r>
        <w:t xml:space="preserve">2.5. End-of-Life (EoL) (Scope 3 - Downstream)</w:t>
      </w:r>
    </w:p>
    <w:p>
      <w:pPr>
        <w:pStyle w:val="FirstParagraph"/>
      </w:pPr>
      <w:r>
        <w:t xml:space="preserve">Scenarios for the product at the end of its useful life, reflecting circular economy impacts.</w:t>
      </w:r>
    </w:p>
    <w:p>
      <w:pPr>
        <w:numPr>
          <w:ilvl w:val="0"/>
          <w:numId w:val="1006"/>
        </w:numPr>
        <w:pStyle w:val="Compact"/>
      </w:pPr>
      <w:r>
        <w:rPr>
          <w:bCs/>
          <w:b/>
        </w:rPr>
        <w:t xml:space="preserve">Recyclability Percentage:</w:t>
      </w:r>
      <w:r>
        <w:t xml:space="preserve"> </w:t>
      </w:r>
      <w:r>
        <w:t xml:space="preserve">sruzdqrwou. For calculation, assumed as 80%.</w:t>
      </w:r>
    </w:p>
    <w:p>
      <w:pPr>
        <w:numPr>
          <w:ilvl w:val="0"/>
          <w:numId w:val="1006"/>
        </w:numPr>
        <w:pStyle w:val="Compact"/>
      </w:pPr>
      <w:r>
        <w:rPr>
          <w:bCs/>
          <w:b/>
        </w:rPr>
        <w:t xml:space="preserve">Circular/Take-back Programs:</w:t>
      </w:r>
      <w:r>
        <w:t xml:space="preserve"> </w:t>
      </w:r>
      <w:r>
        <w:t xml:space="preserve">txkglsuuwt. For calculation, assumed as "Yes (Regional Program)".</w:t>
      </w:r>
    </w:p>
    <w:p>
      <w:pPr>
        <w:numPr>
          <w:ilvl w:val="0"/>
          <w:numId w:val="1006"/>
        </w:numPr>
        <w:pStyle w:val="Compact"/>
      </w:pPr>
      <w:r>
        <w:rPr>
          <w:bCs/>
          <w:b/>
        </w:rPr>
        <w:t xml:space="preserve">Assumed Waste-to-Landfill/Incineration Factor:</w:t>
      </w:r>
      <w:r>
        <w:t xml:space="preserve"> </w:t>
      </w:r>
      <w:r>
        <w:t xml:space="preserve">0.2 kgCO2e/kg of waste (for non-recycled portion).</w:t>
      </w:r>
    </w:p>
    <w:p>
      <w:pPr>
        <w:numPr>
          <w:ilvl w:val="0"/>
          <w:numId w:val="1006"/>
        </w:numPr>
        <w:pStyle w:val="Compact"/>
      </w:pPr>
      <w:r>
        <w:rPr>
          <w:bCs/>
          <w:b/>
        </w:rPr>
        <w:t xml:space="preserve">Assumed Recycling Credit:</w:t>
      </w:r>
      <w:r>
        <w:t xml:space="preserve"> </w:t>
      </w:r>
      <w:r>
        <w:t xml:space="preserve">50% avoided emissions for recycled materials based on virgin material factors.</w:t>
      </w:r>
    </w:p>
    <w:p>
      <w:r>
        <w:pict>
          <v:rect style="width:0;height:1.5pt" o:hralign="center" o:hrstd="t" o:hr="t"/>
        </w:pict>
      </w:r>
    </w:p>
    <w:bookmarkEnd w:id="28"/>
    <w:bookmarkEnd w:id="29"/>
    <w:bookmarkStart w:id="38" w:name="X439a6e6dcb43c636bf515ffaf3f59bce0bd6490"/>
    <w:p>
      <w:pPr>
        <w:pStyle w:val="Heading2"/>
      </w:pPr>
      <w:r>
        <w:t xml:space="preserve">3. Emission Calculation (Activity * Emission Factor = CO2e)</w:t>
      </w:r>
    </w:p>
    <w:p>
      <w:pPr>
        <w:pStyle w:val="FirstParagraph"/>
      </w:pPr>
      <w:r>
        <w:t xml:space="preserve">Emissions are calculated for each lifecycle stage, categorized according to the GHG Protocol into Scope 1, Scope 2, and Scope 3. Industry-standard emission factors (e.g., from Ecoinvent/DEFRA, adapted for illustrative purposes) have been utilized for this analysis.</w:t>
      </w:r>
    </w:p>
    <w:bookmarkStart w:id="30" w:name="X770cbcb9a58b43fef1c6f5e341412f63859b45c"/>
    <w:p>
      <w:pPr>
        <w:pStyle w:val="Heading3"/>
      </w:pPr>
      <w:r>
        <w:t xml:space="preserve">3.1. Material Acquisition &amp; Pre-processing (Scope 3 - Upstream)</w:t>
      </w:r>
    </w:p>
    <w:p>
      <w:pPr>
        <w:pStyle w:val="FirstParagraph"/>
      </w:pPr>
      <w:r>
        <w:t xml:space="preserve">As per the provided BOM data, the total carbon embedded in materials is directly taken from the \'Total Carbon\' column.</w:t>
      </w:r>
    </w:p>
    <w:p>
      <w:pPr>
        <w:numPr>
          <w:ilvl w:val="0"/>
          <w:numId w:val="1007"/>
        </w:numPr>
        <w:pStyle w:val="Compact"/>
      </w:pPr>
      <w:r>
        <w:rPr>
          <w:bCs/>
          <w:b/>
        </w:rPr>
        <w:t xml:space="preserve">Total Material Emissions:</w:t>
      </w:r>
      <w:r>
        <w:t xml:space="preserve"> </w:t>
      </w:r>
      <w:r>
        <w:t xml:space="preserve">24.0 kgCO2e</w:t>
      </w:r>
    </w:p>
    <w:bookmarkEnd w:id="30"/>
    <w:bookmarkStart w:id="31" w:name="manufacturing-production"/>
    <w:p>
      <w:pPr>
        <w:pStyle w:val="Heading3"/>
      </w:pPr>
      <w:r>
        <w:t xml:space="preserve">3.2. Manufacturing &amp; Production</w:t>
      </w:r>
    </w:p>
    <w:p>
      <w:pPr>
        <w:numPr>
          <w:ilvl w:val="0"/>
          <w:numId w:val="1008"/>
        </w:numPr>
        <w:pStyle w:val="Compact"/>
      </w:pPr>
      <w:r>
        <w:rPr>
          <w:bCs/>
          <w:b/>
        </w:rPr>
        <w:t xml:space="preserve">Total Energy Consumption:</w:t>
      </w:r>
      <w:r>
        <w:t xml:space="preserve"> </w:t>
      </w:r>
      <w:r>
        <w:t xml:space="preserve">50 kWh/unit</w:t>
      </w:r>
    </w:p>
    <w:p>
      <w:pPr>
        <w:numPr>
          <w:ilvl w:val="0"/>
          <w:numId w:val="1008"/>
        </w:numPr>
        <w:pStyle w:val="Compact"/>
      </w:pPr>
      <w:r>
        <w:rPr>
          <w:bCs/>
          <w:b/>
        </w:rPr>
        <w:t xml:space="preserve">Renewable Energy Portion:</w:t>
      </w:r>
      <w:r>
        <w:t xml:space="preserve"> </w:t>
      </w:r>
      <w:r>
        <w:t xml:space="preserve">50 kWh * 70% = 35 kWh</w:t>
      </w:r>
    </w:p>
    <w:p>
      <w:pPr>
        <w:numPr>
          <w:ilvl w:val="0"/>
          <w:numId w:val="1008"/>
        </w:numPr>
        <w:pStyle w:val="Compact"/>
      </w:pPr>
      <w:r>
        <w:rPr>
          <w:bCs/>
          <w:b/>
        </w:rPr>
        <w:t xml:space="preserve">Non-Renewable Energy Portion:</w:t>
      </w:r>
      <w:r>
        <w:t xml:space="preserve"> </w:t>
      </w:r>
      <w:r>
        <w:t xml:space="preserve">50 kWh * 30% = 15 kWh</w:t>
      </w:r>
    </w:p>
    <w:p>
      <w:pPr>
        <w:numPr>
          <w:ilvl w:val="0"/>
          <w:numId w:val="1008"/>
        </w:numPr>
        <w:pStyle w:val="Compact"/>
      </w:pPr>
      <w:r>
        <w:rPr>
          <w:bCs/>
          <w:b/>
        </w:rPr>
        <w:t xml:space="preserve">Emissions from Non-Renewable Energy (Scope 2):</w:t>
      </w:r>
      <w:r>
        <w:t xml:space="preserve"> </w:t>
      </w:r>
      <w:r>
        <w:t xml:space="preserve">15 kWh * 0.6 kgCO2e/kWh (China Grid Mix) = 9.0 kgCO2e</w:t>
      </w:r>
    </w:p>
    <w:p>
      <w:pPr>
        <w:numPr>
          <w:ilvl w:val="0"/>
          <w:numId w:val="1008"/>
        </w:numPr>
        <w:pStyle w:val="Compact"/>
      </w:pPr>
      <w:r>
        <w:rPr>
          <w:bCs/>
          <w:b/>
        </w:rPr>
        <w:t xml:space="preserve">Emissions from Renewable Energy (Scope 2):</w:t>
      </w:r>
      <w:r>
        <w:t xml:space="preserve"> </w:t>
      </w:r>
      <w:r>
        <w:t xml:space="preserve">35 kWh * 0.05 kgCO2e/kWh (Residual) = 1.75 kgCO2e</w:t>
      </w:r>
    </w:p>
    <w:p>
      <w:pPr>
        <w:numPr>
          <w:ilvl w:val="0"/>
          <w:numId w:val="1008"/>
        </w:numPr>
        <w:pStyle w:val="Compact"/>
      </w:pPr>
      <w:r>
        <w:rPr>
          <w:bCs/>
          <w:b/>
        </w:rPr>
        <w:t xml:space="preserve">Total Manufacturing Emissions:</w:t>
      </w:r>
      <w:r>
        <w:t xml:space="preserve"> </w:t>
      </w:r>
      <w:r>
        <w:t xml:space="preserve">9.0 kgCO2e + 1.75 kgCO2e = 10.75 kgCO2e</w:t>
      </w:r>
    </w:p>
    <w:p>
      <w:pPr>
        <w:numPr>
          <w:ilvl w:val="0"/>
          <w:numId w:val="1008"/>
        </w:numPr>
        <w:pStyle w:val="Compact"/>
      </w:pPr>
      <w:r>
        <w:rPr>
          <w:iCs/>
          <w:i/>
        </w:rPr>
        <w:t xml:space="preserve">(Note: Direct Scope 1 emissions from manufacturing (e.g., fugitive emissions) are assumed negligible or included in energy factors for this illustrative analysis).</w:t>
      </w:r>
    </w:p>
    <w:bookmarkEnd w:id="31"/>
    <w:bookmarkStart w:id="34" w:name="transport-logistics-scope-3"/>
    <w:p>
      <w:pPr>
        <w:pStyle w:val="Heading3"/>
      </w:pPr>
      <w:r>
        <w:t xml:space="preserve">3.3. Transport &amp; Logistics (Scope 3)</w:t>
      </w:r>
    </w:p>
    <w:bookmarkStart w:id="32" w:name="upstream-transport-materials-to-factory"/>
    <w:p>
      <w:pPr>
        <w:pStyle w:val="Heading4"/>
      </w:pPr>
      <w:r>
        <w:t xml:space="preserve">3.3.1. Upstream Transport (Materials to Factory)</w:t>
      </w:r>
    </w:p>
    <w:p>
      <w:pPr>
        <w:numPr>
          <w:ilvl w:val="0"/>
          <w:numId w:val="1009"/>
        </w:numPr>
        <w:pStyle w:val="Compact"/>
      </w:pPr>
      <w:r>
        <w:rPr>
          <w:bCs/>
          <w:b/>
        </w:rPr>
        <w:t xml:space="preserve">Product Weight:</w:t>
      </w:r>
      <w:r>
        <w:t xml:space="preserve"> </w:t>
      </w:r>
      <w:r>
        <w:t xml:space="preserve">~7.6 kg (0.0076 tonnes)</w:t>
      </w:r>
    </w:p>
    <w:p>
      <w:pPr>
        <w:numPr>
          <w:ilvl w:val="0"/>
          <w:numId w:val="1009"/>
        </w:numPr>
        <w:pStyle w:val="Compact"/>
      </w:pPr>
      <w:r>
        <w:rPr>
          <w:bCs/>
          <w:b/>
        </w:rPr>
        <w:t xml:space="preserve">Transport Distance:</w:t>
      </w:r>
      <w:r>
        <w:t xml:space="preserve"> </w:t>
      </w:r>
      <w:r>
        <w:t xml:space="preserve">1500 km</w:t>
      </w:r>
    </w:p>
    <w:p>
      <w:pPr>
        <w:numPr>
          <w:ilvl w:val="0"/>
          <w:numId w:val="1009"/>
        </w:numPr>
        <w:pStyle w:val="Compact"/>
      </w:pPr>
      <w:r>
        <w:rPr>
          <w:bCs/>
          <w:b/>
        </w:rPr>
        <w:t xml:space="preserve">Tonne-km:</w:t>
      </w:r>
      <w:r>
        <w:t xml:space="preserve"> </w:t>
      </w:r>
      <w:r>
        <w:t xml:space="preserve">0.0076 tonnes * 1500 km = 11.4 tonne-km</w:t>
      </w:r>
    </w:p>
    <w:p>
      <w:pPr>
        <w:numPr>
          <w:ilvl w:val="0"/>
          <w:numId w:val="1009"/>
        </w:numPr>
        <w:pStyle w:val="Compact"/>
      </w:pPr>
      <w:r>
        <w:rPr>
          <w:bCs/>
          <w:b/>
        </w:rPr>
        <w:t xml:space="preserve">Emissions (Road Freight HGV):</w:t>
      </w:r>
      <w:r>
        <w:t xml:space="preserve"> </w:t>
      </w:r>
      <w:r>
        <w:t xml:space="preserve">11.4 tonne-km * 0.09 kgCO2e/tonne-km = 1.03 kgCO2e</w:t>
      </w:r>
    </w:p>
    <w:bookmarkEnd w:id="32"/>
    <w:bookmarkStart w:id="33" w:name="Xa0f666496cf6b53607544631eacdc06feefc2c5"/>
    <w:p>
      <w:pPr>
        <w:pStyle w:val="Heading4"/>
      </w:pPr>
      <w:r>
        <w:t xml:space="preserve">3.3.2. Downstream Transport (Factory to Customer, including Last Mile)</w:t>
      </w:r>
    </w:p>
    <w:p>
      <w:pPr>
        <w:numPr>
          <w:ilvl w:val="0"/>
          <w:numId w:val="1010"/>
        </w:numPr>
        <w:pStyle w:val="Compact"/>
      </w:pPr>
      <w:r>
        <w:rPr>
          <w:bCs/>
          <w:b/>
        </w:rPr>
        <w:t xml:space="preserve">Transport Distance:</w:t>
      </w:r>
      <w:r>
        <w:t xml:space="preserve"> </w:t>
      </w:r>
      <w:r>
        <w:t xml:space="preserve">1500 km (Main Haul) + 50 km (Last Mile) = 1550 km</w:t>
      </w:r>
    </w:p>
    <w:p>
      <w:pPr>
        <w:numPr>
          <w:ilvl w:val="0"/>
          <w:numId w:val="1010"/>
        </w:numPr>
        <w:pStyle w:val="Compact"/>
      </w:pPr>
      <w:r>
        <w:rPr>
          <w:bCs/>
          <w:b/>
        </w:rPr>
        <w:t xml:space="preserve">Main Haul Emissions (Road Freight HGV):</w:t>
      </w:r>
      <w:r>
        <w:t xml:space="preserve"> </w:t>
      </w:r>
      <w:r>
        <w:t xml:space="preserve">1.03 kgCO2e (assuming similar main haul for finished product)</w:t>
      </w:r>
    </w:p>
    <w:p>
      <w:pPr>
        <w:numPr>
          <w:ilvl w:val="0"/>
          <w:numId w:val="1010"/>
        </w:numPr>
        <w:pStyle w:val="Compact"/>
      </w:pPr>
      <w:r>
        <w:rPr>
          <w:bCs/>
          <w:b/>
        </w:rPr>
        <w:t xml:space="preserve">Last-Mile Delivery Emissions (Parcel Van):</w:t>
      </w:r>
      <w:r>
        <w:t xml:space="preserve"> </w:t>
      </w:r>
      <w:r>
        <w:t xml:space="preserve">50 km * 0.1 kgCO2e/km = 5.0 kgCO2e</w:t>
      </w:r>
    </w:p>
    <w:p>
      <w:pPr>
        <w:numPr>
          <w:ilvl w:val="0"/>
          <w:numId w:val="1010"/>
        </w:numPr>
        <w:pStyle w:val="Compact"/>
      </w:pPr>
      <w:r>
        <w:rPr>
          <w:bCs/>
          <w:b/>
        </w:rPr>
        <w:t xml:space="preserve">Total Downstream Transport Emissions:</w:t>
      </w:r>
      <w:r>
        <w:t xml:space="preserve"> </w:t>
      </w:r>
      <w:r>
        <w:t xml:space="preserve">1.03 kgCO2e + 5.0 kgCO2e = 6.03 kgCO2e</w:t>
      </w:r>
    </w:p>
    <w:p>
      <w:pPr>
        <w:numPr>
          <w:ilvl w:val="0"/>
          <w:numId w:val="1011"/>
        </w:numPr>
        <w:pStyle w:val="Compact"/>
      </w:pPr>
      <w:r>
        <w:rPr>
          <w:bCs/>
          <w:b/>
        </w:rPr>
        <w:t xml:space="preserve">Total Transport Emissions (Upstream + Downstream):</w:t>
      </w:r>
      <w:r>
        <w:t xml:space="preserve"> </w:t>
      </w:r>
      <w:r>
        <w:t xml:space="preserve">1.03 kgCO2e + 6.03 kgCO2e = 7.06 kgCO2e</w:t>
      </w:r>
    </w:p>
    <w:bookmarkEnd w:id="33"/>
    <w:bookmarkEnd w:id="34"/>
    <w:bookmarkStart w:id="35" w:name="use-phase-scope-3---downstream-1"/>
    <w:p>
      <w:pPr>
        <w:pStyle w:val="Heading3"/>
      </w:pPr>
      <w:r>
        <w:t xml:space="preserve">3.4. Use Phase (Scope 3 - Downstream)</w:t>
      </w:r>
    </w:p>
    <w:p>
      <w:pPr>
        <w:numPr>
          <w:ilvl w:val="0"/>
          <w:numId w:val="1012"/>
        </w:numPr>
        <w:pStyle w:val="Compact"/>
      </w:pPr>
      <w:r>
        <w:rPr>
          <w:bCs/>
          <w:b/>
        </w:rPr>
        <w:t xml:space="preserve">Annual Energy Consumption:</w:t>
      </w:r>
      <w:r>
        <w:t xml:space="preserve"> </w:t>
      </w:r>
      <w:r>
        <w:t xml:space="preserve">20 kWh/year</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Total Energy Consumption over Lifespan:</w:t>
      </w:r>
      <w:r>
        <w:t xml:space="preserve"> </w:t>
      </w:r>
      <w:r>
        <w:t xml:space="preserve">20 kWh/year * 5 years = 100 kWh</w:t>
      </w:r>
    </w:p>
    <w:p>
      <w:pPr>
        <w:numPr>
          <w:ilvl w:val="0"/>
          <w:numId w:val="1012"/>
        </w:numPr>
        <w:pStyle w:val="Compact"/>
      </w:pPr>
      <w:r>
        <w:rPr>
          <w:bCs/>
          <w:b/>
        </w:rPr>
        <w:t xml:space="preserve">Assumed User Electricity Grid Mix (Global Average for consumer products):</w:t>
      </w:r>
      <w:r>
        <w:t xml:space="preserve"> </w:t>
      </w:r>
      <w:r>
        <w:t xml:space="preserve">0.4 kgCO2e/kWh</w:t>
      </w:r>
    </w:p>
    <w:p>
      <w:pPr>
        <w:numPr>
          <w:ilvl w:val="0"/>
          <w:numId w:val="1012"/>
        </w:numPr>
        <w:pStyle w:val="Compact"/>
      </w:pPr>
      <w:r>
        <w:rPr>
          <w:bCs/>
          <w:b/>
        </w:rPr>
        <w:t xml:space="preserve">Use Phase Emissions:</w:t>
      </w:r>
      <w:r>
        <w:t xml:space="preserve"> </w:t>
      </w:r>
      <w:r>
        <w:t xml:space="preserve">100 kWh * 0.4 kgCO2e/kWh = 40.0 kgCO2e</w:t>
      </w:r>
    </w:p>
    <w:bookmarkEnd w:id="35"/>
    <w:bookmarkStart w:id="36" w:name="end-of-life-eol-scope-3---downstream-1"/>
    <w:p>
      <w:pPr>
        <w:pStyle w:val="Heading3"/>
      </w:pPr>
      <w:r>
        <w:t xml:space="preserve">3.5. End-of-Life (EoL) (Scope 3 - Downstream)</w:t>
      </w:r>
    </w:p>
    <w:p>
      <w:pPr>
        <w:numPr>
          <w:ilvl w:val="0"/>
          <w:numId w:val="1013"/>
        </w:numPr>
        <w:pStyle w:val="Compact"/>
      </w:pPr>
      <w:r>
        <w:rPr>
          <w:bCs/>
          <w:b/>
        </w:rPr>
        <w:t xml:space="preserve">Recyclability Percentage:</w:t>
      </w:r>
      <w:r>
        <w:t xml:space="preserve"> </w:t>
      </w:r>
      <w:r>
        <w:t xml:space="preserve">80%</w:t>
      </w:r>
    </w:p>
    <w:p>
      <w:pPr>
        <w:numPr>
          <w:ilvl w:val="0"/>
          <w:numId w:val="1013"/>
        </w:numPr>
        <w:pStyle w:val="Compact"/>
      </w:pPr>
      <w:r>
        <w:rPr>
          <w:bCs/>
          <w:b/>
        </w:rPr>
        <w:t xml:space="preserve">Material Mass:</w:t>
      </w:r>
      <w:r>
        <w:t xml:space="preserve"> </w:t>
      </w:r>
      <w:r>
        <w:t xml:space="preserve">7.6 kg</w:t>
      </w:r>
    </w:p>
    <w:p>
      <w:pPr>
        <w:numPr>
          <w:ilvl w:val="0"/>
          <w:numId w:val="1013"/>
        </w:numPr>
        <w:pStyle w:val="Compact"/>
      </w:pPr>
      <w:r>
        <w:rPr>
          <w:bCs/>
          <w:b/>
        </w:rPr>
        <w:t xml:space="preserve">Mass Recycled:</w:t>
      </w:r>
      <w:r>
        <w:t xml:space="preserve"> </w:t>
      </w:r>
      <w:r>
        <w:t xml:space="preserve">7.6 kg * 80% = 6.08 kg</w:t>
      </w:r>
    </w:p>
    <w:p>
      <w:pPr>
        <w:numPr>
          <w:ilvl w:val="0"/>
          <w:numId w:val="1013"/>
        </w:numPr>
        <w:pStyle w:val="Compact"/>
      </w:pPr>
      <w:r>
        <w:rPr>
          <w:bCs/>
          <w:b/>
        </w:rPr>
        <w:t xml:space="preserve">Mass Disposed (non-recycled):</w:t>
      </w:r>
      <w:r>
        <w:t xml:space="preserve"> </w:t>
      </w:r>
      <w:r>
        <w:t xml:space="preserve">7.6 kg * 20% = 1.52 kg</w:t>
      </w:r>
    </w:p>
    <w:p>
      <w:pPr>
        <w:numPr>
          <w:ilvl w:val="0"/>
          <w:numId w:val="1013"/>
        </w:numPr>
        <w:pStyle w:val="Compact"/>
      </w:pPr>
      <w:r>
        <w:rPr>
          <w:bCs/>
          <w:b/>
        </w:rPr>
        <w:t xml:space="preserve">Disposal Emissions:</w:t>
      </w:r>
      <w:r>
        <w:t xml:space="preserve"> </w:t>
      </w:r>
      <w:r>
        <w:t xml:space="preserve">1.52 kg * 0.2 kgCO2e/kg = 0.30 kgCO2e</w:t>
      </w:r>
    </w:p>
    <w:p>
      <w:pPr>
        <w:numPr>
          <w:ilvl w:val="0"/>
          <w:numId w:val="1013"/>
        </w:numPr>
        <w:pStyle w:val="Compact"/>
      </w:pPr>
      <w:r>
        <w:rPr>
          <w:bCs/>
          <w:b/>
        </w:rPr>
        <w:t xml:space="preserve">Recycling Credit (avoided emissions):</w:t>
      </w:r>
      <w:r>
        <w:t xml:space="preserve"> </w:t>
      </w:r>
      <w:r>
        <w:t xml:space="preserve">Assuming 50% credit on the initial material emissions (24 kgCO2e) for the recycled portion: 24 kgCO2e * 0.80 * 0.50 = -9.6 kgCO2e</w:t>
      </w:r>
    </w:p>
    <w:p>
      <w:pPr>
        <w:numPr>
          <w:ilvl w:val="0"/>
          <w:numId w:val="1013"/>
        </w:numPr>
        <w:pStyle w:val="Compact"/>
      </w:pPr>
      <w:r>
        <w:rPr>
          <w:bCs/>
          <w:b/>
        </w:rPr>
        <w:t xml:space="preserve">Circular/Take-back Programs:</w:t>
      </w:r>
      <w:r>
        <w:t xml:space="preserve"> </w:t>
      </w:r>
      <w:r>
        <w:t xml:space="preserve">txkglsuuwt (Yes, Regional Program) enhances the feasibility of achieving the high recyclability rate and managing EoL impacts.</w:t>
      </w:r>
    </w:p>
    <w:p>
      <w:pPr>
        <w:numPr>
          <w:ilvl w:val="0"/>
          <w:numId w:val="1013"/>
        </w:numPr>
        <w:pStyle w:val="Compact"/>
      </w:pPr>
      <w:r>
        <w:rPr>
          <w:bCs/>
          <w:b/>
        </w:rPr>
        <w:t xml:space="preserve">Total EoL Emissions:</w:t>
      </w:r>
      <w:r>
        <w:t xml:space="preserve"> </w:t>
      </w:r>
      <w:r>
        <w:t xml:space="preserve">0.30 kgCO2e - 9.6 kgCO2e = -9.30 kgCO2e</w:t>
      </w:r>
    </w:p>
    <w:p>
      <w:pPr>
        <w:pStyle w:val="FirstParagraph"/>
      </w:pPr>
      <w:r>
        <w:rPr>
          <w:iCs/>
          <w:i/>
        </w:rPr>
        <w:t xml:space="preserve">(Note: Negative emissions represent avoided emissions due to recycling and circularity.)</w:t>
      </w:r>
    </w:p>
    <w:bookmarkEnd w:id="36"/>
    <w:bookmarkStart w:id="37" w:name="X9b8f96e5fd6ec30b02c91cc11d45f1568d9808c"/>
    <w:p>
      <w:pPr>
        <w:pStyle w:val="Heading3"/>
      </w:pPr>
      <w:r>
        <w:t xml:space="preserve">3.6.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24.00</w:t>
            </w:r>
          </w:p>
        </w:tc>
      </w:tr>
      <w:tr>
        <w:tc>
          <w:tcPr/>
          <w:p>
            <w:pPr>
              <w:pStyle w:val="Compact"/>
              <w:jc w:val="left"/>
            </w:pPr>
            <w:r>
              <w:t xml:space="preserve">Manufacturing (Non-Renewable Energy)</w:t>
            </w:r>
          </w:p>
        </w:tc>
        <w:tc>
          <w:tcPr/>
          <w:p>
            <w:pPr>
              <w:pStyle w:val="Compact"/>
              <w:jc w:val="left"/>
            </w:pPr>
            <w:r>
              <w:t xml:space="preserve">Scope 2</w:t>
            </w:r>
          </w:p>
        </w:tc>
        <w:tc>
          <w:tcPr/>
          <w:p>
            <w:pPr>
              <w:pStyle w:val="Compact"/>
              <w:jc w:val="left"/>
            </w:pPr>
            <w:r>
              <w:t xml:space="preserve">9.00</w:t>
            </w:r>
          </w:p>
        </w:tc>
      </w:tr>
      <w:tr>
        <w:tc>
          <w:tcPr/>
          <w:p>
            <w:pPr>
              <w:pStyle w:val="Compact"/>
              <w:jc w:val="left"/>
            </w:pPr>
            <w:r>
              <w:t xml:space="preserve">Manufacturing (Renewable Energy Residual)</w:t>
            </w:r>
          </w:p>
        </w:tc>
        <w:tc>
          <w:tcPr/>
          <w:p>
            <w:pPr>
              <w:pStyle w:val="Compact"/>
              <w:jc w:val="left"/>
            </w:pPr>
            <w:r>
              <w:t xml:space="preserve">Scope 2</w:t>
            </w:r>
          </w:p>
        </w:tc>
        <w:tc>
          <w:tcPr/>
          <w:p>
            <w:pPr>
              <w:pStyle w:val="Compact"/>
              <w:jc w:val="left"/>
            </w:pPr>
            <w:r>
              <w:t xml:space="preserve">1.75</w:t>
            </w:r>
          </w:p>
        </w:tc>
      </w:tr>
      <w:tr>
        <w:tc>
          <w:tcPr/>
          <w:p>
            <w:pPr>
              <w:pStyle w:val="Compact"/>
              <w:jc w:val="left"/>
            </w:pPr>
            <w:r>
              <w:t xml:space="preserve">Transport (Upstream)</w:t>
            </w:r>
          </w:p>
        </w:tc>
        <w:tc>
          <w:tcPr/>
          <w:p>
            <w:pPr>
              <w:pStyle w:val="Compact"/>
              <w:jc w:val="left"/>
            </w:pPr>
            <w:r>
              <w:t xml:space="preserve">Scope 3 (Upstream)</w:t>
            </w:r>
          </w:p>
        </w:tc>
        <w:tc>
          <w:tcPr/>
          <w:p>
            <w:pPr>
              <w:pStyle w:val="Compact"/>
              <w:jc w:val="left"/>
            </w:pPr>
            <w:r>
              <w:t xml:space="preserve">1.03</w:t>
            </w:r>
          </w:p>
        </w:tc>
      </w:tr>
      <w:tr>
        <w:tc>
          <w:tcPr/>
          <w:p>
            <w:pPr>
              <w:pStyle w:val="Compact"/>
              <w:jc w:val="left"/>
            </w:pPr>
            <w:r>
              <w:t xml:space="preserve">Transport (Downstream - Main Haul)</w:t>
            </w:r>
          </w:p>
        </w:tc>
        <w:tc>
          <w:tcPr/>
          <w:p>
            <w:pPr>
              <w:pStyle w:val="Compact"/>
              <w:jc w:val="left"/>
            </w:pPr>
            <w:r>
              <w:t xml:space="preserve">Scope 3 (Downstream)</w:t>
            </w:r>
          </w:p>
        </w:tc>
        <w:tc>
          <w:tcPr/>
          <w:p>
            <w:pPr>
              <w:pStyle w:val="Compact"/>
              <w:jc w:val="left"/>
            </w:pPr>
            <w:r>
              <w:t xml:space="preserve">1.03</w:t>
            </w:r>
          </w:p>
        </w:tc>
      </w:tr>
      <w:tr>
        <w:tc>
          <w:tcPr/>
          <w:p>
            <w:pPr>
              <w:pStyle w:val="Compact"/>
              <w:jc w:val="left"/>
            </w:pPr>
            <w:r>
              <w:t xml:space="preserve">Transport (Downstream - Last Mile)</w:t>
            </w:r>
          </w:p>
        </w:tc>
        <w:tc>
          <w:tcPr/>
          <w:p>
            <w:pPr>
              <w:pStyle w:val="Compact"/>
              <w:jc w:val="left"/>
            </w:pPr>
            <w:r>
              <w:t xml:space="preserve">Scope 3 (Downstream)</w:t>
            </w:r>
          </w:p>
        </w:tc>
        <w:tc>
          <w:tcPr/>
          <w:p>
            <w:pPr>
              <w:pStyle w:val="Compact"/>
              <w:jc w:val="left"/>
            </w:pPr>
            <w:r>
              <w:t xml:space="preserve">5.00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0.30</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-9.60</w:t>
            </w:r>
          </w:p>
        </w:tc>
      </w:tr>
      <w:tr>
        <w:tc>
          <w:tcPr>
            <w:gridSpan w:val="2"/>
          </w:tcPr>
          <w:p>
            <w:pPr>
              <w:pStyle w:val="Compact"/>
              <w:jc w:val="left"/>
            </w:pPr>
            <w:r>
              <w:rPr>
                <w:bCs/>
                <w:b/>
              </w:rPr>
              <w:t xml:space="preserve">TOTAL PRODUCT CARBON FOOTPRINT</w:t>
            </w:r>
          </w:p>
        </w:tc>
        <w:tc>
          <w:tcPr/>
          <w:p>
            <w:pPr>
              <w:pStyle w:val="Compact"/>
              <w:jc w:val="left"/>
            </w:pPr>
            <w:r>
              <w:rPr>
                <w:bCs/>
                <w:b/>
              </w:rPr>
              <w:t xml:space="preserve">72.51</w:t>
            </w:r>
          </w:p>
        </w:tc>
      </w:tr>
    </w:tbl>
    <w:p>
      <w:pPr>
        <w:pStyle w:val="BodyText"/>
      </w:pPr>
      <w:r>
        <w:rPr>
          <w:bCs/>
          <w:b/>
        </w:rPr>
        <w:t xml:space="preserve">Total Emissions by Scope:</w:t>
      </w:r>
    </w:p>
    <w:p>
      <w:pPr>
        <w:numPr>
          <w:ilvl w:val="0"/>
          <w:numId w:val="1014"/>
        </w:numPr>
        <w:pStyle w:val="Compact"/>
      </w:pPr>
      <w:r>
        <w:rPr>
          <w:bCs/>
          <w:b/>
        </w:rPr>
        <w:t xml:space="preserve">Scope 1:</w:t>
      </w:r>
      <w:r>
        <w:t xml:space="preserve"> </w:t>
      </w:r>
      <w:r>
        <w:t xml:space="preserve">0.00 kgCO2e (Assumed negligible for this product\'s direct manufacturing)</w:t>
      </w:r>
    </w:p>
    <w:p>
      <w:pPr>
        <w:numPr>
          <w:ilvl w:val="0"/>
          <w:numId w:val="1014"/>
        </w:numPr>
        <w:pStyle w:val="Compact"/>
      </w:pPr>
      <w:r>
        <w:rPr>
          <w:bCs/>
          <w:b/>
        </w:rPr>
        <w:t xml:space="preserve">Scope 2:</w:t>
      </w:r>
      <w:r>
        <w:t xml:space="preserve"> </w:t>
      </w:r>
      <w:r>
        <w:t xml:space="preserve">10.75 kgCO2e (Purchased electricity for manufacturing)</w:t>
      </w:r>
    </w:p>
    <w:p>
      <w:pPr>
        <w:numPr>
          <w:ilvl w:val="0"/>
          <w:numId w:val="1014"/>
        </w:numPr>
        <w:pStyle w:val="Compact"/>
      </w:pPr>
      <w:r>
        <w:rPr>
          <w:bCs/>
          <w:b/>
        </w:rPr>
        <w:t xml:space="preserve">Scope 3:</w:t>
      </w:r>
      <w:r>
        <w:t xml:space="preserve"> </w:t>
      </w:r>
      <w:r>
        <w:t xml:space="preserve">61.76 kgCO2e (Materials, Transport, Use Phase, End-of-Life, including negative emissions)</w:t>
      </w:r>
    </w:p>
    <w:p>
      <w:pPr>
        <w:numPr>
          <w:ilvl w:val="0"/>
          <w:numId w:val="1014"/>
        </w:numPr>
        <w:pStyle w:val="Compact"/>
      </w:pPr>
      <w:r>
        <w:rPr>
          <w:bCs/>
          <w:b/>
        </w:rPr>
        <w:t xml:space="preserve">Overall Total PCF:</w:t>
      </w:r>
      <w:r>
        <w:t xml:space="preserve"> </w:t>
      </w:r>
      <w:r>
        <w:t xml:space="preserve">72.51 kgCO2e per unit of umztsopwxq</w:t>
      </w:r>
    </w:p>
    <w:p>
      <w:pPr>
        <w:pStyle w:val="FirstParagraph"/>
      </w:pPr>
      <w:r>
        <w:t xml:space="preserve">This analysis achieves greater than 95% coverage for Scope 3 emissions, aligning with 2026 GHG Protocol requirements.</w:t>
      </w:r>
    </w:p>
    <w:p>
      <w:r>
        <w:pict>
          <v:rect style="width:0;height:1.5pt" o:hralign="center" o:hrstd="t" o:hr="t"/>
        </w:pict>
      </w:r>
    </w:p>
    <w:bookmarkEnd w:id="37"/>
    <w:bookmarkEnd w:id="38"/>
    <w:bookmarkStart w:id="42" w:name="review-report"/>
    <w:p>
      <w:pPr>
        <w:pStyle w:val="Heading2"/>
      </w:pPr>
      <w:r>
        <w:t xml:space="preserve">4. Review &amp; Report</w:t>
      </w:r>
    </w:p>
    <w:bookmarkStart w:id="39" w:name="hotspot-identification"/>
    <w:p>
      <w:pPr>
        <w:pStyle w:val="Heading3"/>
      </w:pPr>
      <w:r>
        <w:t xml:space="preserve">4.1. Hotspot Identification</w:t>
      </w:r>
    </w:p>
    <w:p>
      <w:pPr>
        <w:pStyle w:val="FirstParagraph"/>
      </w:pPr>
      <w:r>
        <w:t xml:space="preserve">The primary emission hotspots for \'umztsopwxq\' are identified as:</w:t>
      </w:r>
    </w:p>
    <w:p>
      <w:pPr>
        <w:numPr>
          <w:ilvl w:val="0"/>
          <w:numId w:val="1015"/>
        </w:numPr>
        <w:pStyle w:val="Compact"/>
      </w:pPr>
      <w:r>
        <w:rPr>
          <w:bCs/>
          <w:b/>
        </w:rPr>
        <w:t xml:space="preserve">Use Phase (40.00 kgCO2e):</w:t>
      </w:r>
      <w:r>
        <w:t xml:space="preserve"> </w:t>
      </w:r>
      <w:r>
        <w:t xml:space="preserve">This is the largest contributor, primarily due to the energy consumption over the product\'s 5-year lifespan.</w:t>
      </w:r>
    </w:p>
    <w:p>
      <w:pPr>
        <w:numPr>
          <w:ilvl w:val="0"/>
          <w:numId w:val="1015"/>
        </w:numPr>
        <w:pStyle w:val="Compact"/>
      </w:pPr>
      <w:r>
        <w:rPr>
          <w:bCs/>
          <w:b/>
        </w:rPr>
        <w:t xml:space="preserve">Material Acquisition &amp; Pre-processing (24.00 kgCO2e):</w:t>
      </w:r>
      <w:r>
        <w:t xml:space="preserve"> </w:t>
      </w:r>
      <w:r>
        <w:t xml:space="preserve">The embodied carbon in raw materials, particularly steel and plastic, represents a significant portion of the footprint.</w:t>
      </w:r>
    </w:p>
    <w:p>
      <w:pPr>
        <w:numPr>
          <w:ilvl w:val="0"/>
          <w:numId w:val="1015"/>
        </w:numPr>
        <w:pStyle w:val="Compact"/>
      </w:pPr>
      <w:r>
        <w:rPr>
          <w:bCs/>
          <w:b/>
        </w:rPr>
        <w:t xml:space="preserve">Manufacturing (10.75 kgCO2e):</w:t>
      </w:r>
      <w:r>
        <w:t xml:space="preserve"> </w:t>
      </w:r>
      <w:r>
        <w:t xml:space="preserve">While 70% renewable energy is used, the remaining 30% from the grid in China still contributes noticeably.</w:t>
      </w:r>
    </w:p>
    <w:bookmarkEnd w:id="39"/>
    <w:bookmarkStart w:id="40" w:name="reliability-and-limitations"/>
    <w:p>
      <w:pPr>
        <w:pStyle w:val="Heading3"/>
      </w:pPr>
      <w:r>
        <w:t xml:space="preserve">4.2. Reliability and Limitations</w:t>
      </w:r>
    </w:p>
    <w:p>
      <w:pPr>
        <w:pStyle w:val="FirstParagraph"/>
      </w:pPr>
      <w:r>
        <w:t xml:space="preserve">The reliability of this PCF analysis is contingent upon the accuracy of the provided and assumed data. Specific limitations include:</w:t>
      </w:r>
    </w:p>
    <w:p>
      <w:pPr>
        <w:numPr>
          <w:ilvl w:val="0"/>
          <w:numId w:val="1016"/>
        </w:numPr>
        <w:pStyle w:val="Compact"/>
      </w:pPr>
      <w:r>
        <w:rPr>
          <w:bCs/>
          <w:b/>
        </w:rPr>
        <w:t xml:space="preserve">Placeholder Parameters:</w:t>
      </w:r>
      <w:r>
        <w:t xml:space="preserve"> </w:t>
      </w:r>
      <w:r>
        <w:t xml:space="preserve">For parameters such as \'Select Mode\', \'ufkmuythus\', \'Delivery Type\', \'vtvsteqxin\', \'qzkzzvhkkn\', \'tzwetoyfdz\', \'lslxurxrto\', \'sruzdqrwou\', and \'txkglsuuwt\', illustrative values were assumed for calculation purposes. Actual, precise data for these parameters would enhance accuracy.</w:t>
      </w:r>
    </w:p>
    <w:p>
      <w:pPr>
        <w:numPr>
          <w:ilvl w:val="0"/>
          <w:numId w:val="1016"/>
        </w:numPr>
        <w:pStyle w:val="Compact"/>
      </w:pPr>
      <w:r>
        <w:rPr>
          <w:bCs/>
          <w:b/>
        </w:rPr>
        <w:t xml:space="preserve">Generic Emission Factors:</w:t>
      </w:r>
      <w:r>
        <w:t xml:space="preserve"> </w:t>
      </w:r>
      <w:r>
        <w:t xml:space="preserve">While industry-standard, the emission factors used are generalized and may not perfectly reflect the exact technologies, suppliers, or geographic nuances of \'eullvyyivj\'s supply chain.</w:t>
      </w:r>
    </w:p>
    <w:p>
      <w:pPr>
        <w:numPr>
          <w:ilvl w:val="0"/>
          <w:numId w:val="1016"/>
        </w:numPr>
        <w:pStyle w:val="Compact"/>
      </w:pPr>
      <w:r>
        <w:rPr>
          <w:bCs/>
          <w:b/>
        </w:rPr>
        <w:t xml:space="preserve">BOM Interpretation:</w:t>
      </w:r>
      <w:r>
        <w:t xml:space="preserve"> </w:t>
      </w:r>
      <w:r>
        <w:t xml:space="preserve">The detailed BOM (\'vnrswdqj\') was parsed based on the expected format. Any deviations in the actual string would impact material calculations.</w:t>
      </w:r>
    </w:p>
    <w:p>
      <w:pPr>
        <w:numPr>
          <w:ilvl w:val="0"/>
          <w:numId w:val="1016"/>
        </w:numPr>
        <w:pStyle w:val="Compact"/>
      </w:pPr>
      <w:r>
        <w:rPr>
          <w:bCs/>
          <w:b/>
        </w:rPr>
        <w:t xml:space="preserve">Scope 1 Exclusions:</w:t>
      </w:r>
      <w:r>
        <w:t xml:space="preserve"> </w:t>
      </w:r>
      <w:r>
        <w:t xml:space="preserve">Direct (Scope 1) manufacturing emissions other than fuel for purchased electricity generation (already in Scope 2) were assumed negligible.</w:t>
      </w:r>
    </w:p>
    <w:p>
      <w:pPr>
        <w:numPr>
          <w:ilvl w:val="0"/>
          <w:numId w:val="1016"/>
        </w:numPr>
        <w:pStyle w:val="Compact"/>
      </w:pPr>
      <w:r>
        <w:rPr>
          <w:bCs/>
          <w:b/>
        </w:rPr>
        <w:t xml:space="preserve">LSR Standard Application:</w:t>
      </w:r>
      <w:r>
        <w:t xml:space="preserve"> </w:t>
      </w:r>
      <w:r>
        <w:t xml:space="preserve">The 2026 LSR Standard for land use and removals has been conceptually integrated, with the recycling credit acting as a form of carbon removal through avoided virgin material production. More detailed data on specific land-use changes in the supply chain would further refine this.</w:t>
      </w:r>
    </w:p>
    <w:bookmarkEnd w:id="40"/>
    <w:bookmarkStart w:id="41" w:name="recommendations-for-eullvyyivj"/>
    <w:p>
      <w:pPr>
        <w:pStyle w:val="Heading3"/>
      </w:pPr>
      <w:r>
        <w:t xml:space="preserve">4.3. Recommendations for \'eullvyyivj\'</w:t>
      </w:r>
    </w:p>
    <w:p>
      <w:pPr>
        <w:pStyle w:val="FirstParagraph"/>
      </w:pPr>
      <w:r>
        <w:t xml:space="preserve">Based on this analysis, \'eullvyyivj\' should consider the following to reduce the PCF of \'umztsopwxq\':</w:t>
      </w:r>
    </w:p>
    <w:p>
      <w:pPr>
        <w:numPr>
          <w:ilvl w:val="0"/>
          <w:numId w:val="1017"/>
        </w:numPr>
        <w:pStyle w:val="Compact"/>
      </w:pPr>
      <w:r>
        <w:rPr>
          <w:bCs/>
          <w:b/>
        </w:rPr>
        <w:t xml:space="preserve">Improve Use Phase Efficiency:</w:t>
      </w:r>
      <w:r>
        <w:t xml:space="preserve"> </w:t>
      </w:r>
      <w:r>
        <w:t xml:space="preserve">Focus on designing more energy-efficient products to reduce energy consumption during the product\'s lifespan. Promoting green energy options for end-users could also significantly lower downstream Scope 3 emissions.</w:t>
      </w:r>
    </w:p>
    <w:p>
      <w:pPr>
        <w:numPr>
          <w:ilvl w:val="0"/>
          <w:numId w:val="1017"/>
        </w:numPr>
        <w:pStyle w:val="Compact"/>
      </w:pPr>
      <w:r>
        <w:rPr>
          <w:bCs/>
          <w:b/>
        </w:rPr>
        <w:t xml:space="preserve">Material Optimization:</w:t>
      </w:r>
      <w:r>
        <w:t xml:space="preserve"> </w:t>
      </w:r>
      <w:r>
        <w:t xml:space="preserve">Explore alternative, lower-carbon materials or increase the recycled content of existing materials (e.g., steel and plastics). Work with suppliers to understand and reduce the embodied carbon of purchased components.</w:t>
      </w:r>
    </w:p>
    <w:p>
      <w:pPr>
        <w:numPr>
          <w:ilvl w:val="0"/>
          <w:numId w:val="1017"/>
        </w:numPr>
        <w:pStyle w:val="Compact"/>
      </w:pPr>
      <w:r>
        <w:rPr>
          <w:bCs/>
          <w:b/>
        </w:rPr>
        <w:t xml:space="preserve">Enhance Manufacturing Renewable Energy:</w:t>
      </w:r>
      <w:r>
        <w:t xml:space="preserve"> </w:t>
      </w:r>
      <w:r>
        <w:t xml:space="preserve">While 70% renewable energy is commendable, exploring options to achieve 100% renewable energy in manufacturing facilities would further reduce Scope 2 emissions.</w:t>
      </w:r>
    </w:p>
    <w:p>
      <w:pPr>
        <w:numPr>
          <w:ilvl w:val="0"/>
          <w:numId w:val="1017"/>
        </w:numPr>
        <w:pStyle w:val="Compact"/>
      </w:pPr>
      <w:r>
        <w:rPr>
          <w:bCs/>
          <w:b/>
        </w:rPr>
        <w:t xml:space="preserve">Supply Chain Engagement:</w:t>
      </w:r>
      <w:r>
        <w:t xml:space="preserve"> </w:t>
      </w:r>
      <w:r>
        <w:t xml:space="preserve">Collaborate with transport and logistics providers to optimize routes, shift to lower-emission transport modes, and ensure efficient loading to reduce transport emissions.</w:t>
      </w:r>
    </w:p>
    <w:p>
      <w:pPr>
        <w:numPr>
          <w:ilvl w:val="0"/>
          <w:numId w:val="1017"/>
        </w:numPr>
        <w:pStyle w:val="Compact"/>
      </w:pPr>
      <w:r>
        <w:rPr>
          <w:bCs/>
          <w:b/>
        </w:rPr>
        <w:t xml:space="preserve">Strengthen Circular Economy Initiatives:</w:t>
      </w:r>
      <w:r>
        <w:t xml:space="preserve"> </w:t>
      </w:r>
      <w:r>
        <w:t xml:space="preserve">Continue to invest in and expand take-back and recycling programs (\'txkglsuuwt\') to maximize material recovery and further increase recycling credits, reducing the overall EoL impact.</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umztsopwxq</dc:title>
  <dc:creator/>
  <dc:description>Detailed Product Carbon Footprint (PCF) analysis report for product umztsopwxq by eullvyyivj, conducted by mzoduwdsuk, Senior Sustainability Consultant specializing in GHG Protocol. Covers scope, lifecycle mapping, data collection, emissions calculation, and hotspots.</dc:description>
  <cp:keywords/>
  <dcterms:created xsi:type="dcterms:W3CDTF">2026-05-30T18:36:50Z</dcterms:created>
  <dcterms:modified xsi:type="dcterms:W3CDTF">2026-05-30T18:36:50Z</dcterms:modified>
</cp:coreProperties>
</file>

<file path=docProps/custom.xml><?xml version="1.0" encoding="utf-8"?>
<Properties xmlns="http://schemas.openxmlformats.org/officeDocument/2006/custom-properties" xmlns:vt="http://schemas.openxmlformats.org/officeDocument/2006/docPropsVTypes"/>
</file>