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umtfiughtx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umtfiughtx</w:t>
      </w:r>
    </w:p>
    <w:p>
      <w:pPr>
        <w:pStyle w:val="BodyText"/>
      </w:pPr>
      <w:r>
        <w:t xml:space="preserve">**Company Name:** yomjlhtvvi</w:t>
      </w:r>
    </w:p>
    <w:p>
      <w:pPr>
        <w:pStyle w:val="BodyText"/>
      </w:pPr>
      <w:r>
        <w:t xml:space="preserve">**Accounting Standard:** GHG Protocol</w:t>
      </w:r>
    </w:p>
    <w:p>
      <w:pPr>
        <w:pStyle w:val="BodyText"/>
      </w:pPr>
      <w:r>
        <w:t xml:space="preserve">**Senior Sustainability Consultant:** wjpitfmwxy</w:t>
      </w:r>
    </w:p>
    <w:p>
      <w:pPr>
        <w:pStyle w:val="BodyText"/>
      </w:pPr>
      <w:r>
        <w:t xml:space="preserve">Disclaimer: This report is generated based on available data and industry standards. While every effort has been made to ensure accuracy, actual impacts may vary.</w:t>
      </w:r>
    </w:p>
    <w:bookmarkEnd w:id="20"/>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umtfiughtx</w:t>
      </w:r>
      <w:r>
        <w:t xml:space="preserve">, manufactured by</w:t>
      </w:r>
      <w:r>
        <w:t xml:space="preserve"> </w:t>
      </w:r>
      <w:r>
        <w:rPr>
          <w:bCs/>
          <w:b/>
        </w:rPr>
        <w:t xml:space="preserve">yomjlhtvvi</w:t>
      </w:r>
      <w:r>
        <w:t xml:space="preserve">. The analysis was conducted by Senior Sustainability Consultant</w:t>
      </w:r>
      <w:r>
        <w:t xml:space="preserve"> </w:t>
      </w:r>
      <w:r>
        <w:rPr>
          <w:bCs/>
          <w:b/>
        </w:rPr>
        <w:t xml:space="preserve">wjpitfmwxy</w:t>
      </w:r>
      <w:r>
        <w:t xml:space="preserve">, strictly adhering to the GHG Protocol accounting standard. The primary objective is to quantify the greenhouse gas emissions associated with the entire lifecycle of one functional unit of umtfiughtx, from raw material extraction to end-of-life. The total carbon footprint of one unit of umtfiughtx is estimated to be approximately 19.84 kg CO2e. Key emission hotspots have been identified across the product\'s lifecycle, with the Use Phase being the most significant contributor.</w:t>
      </w:r>
    </w:p>
    <w:p>
      <w:r>
        <w:pict>
          <v:rect style="width:0;height:1.5pt" o:hralign="center" o:hrstd="t" o:hr="t"/>
        </w:pict>
      </w:r>
    </w:p>
    <w:bookmarkEnd w:id="21"/>
    <w:bookmarkStart w:id="22" w:name="methodology"/>
    <w:p>
      <w:pPr>
        <w:pStyle w:val="Heading2"/>
      </w:pPr>
      <w:r>
        <w:t xml:space="preserve">2. Methodology</w:t>
      </w:r>
    </w:p>
    <w:p>
      <w:pPr>
        <w:pStyle w:val="FirstParagraph"/>
      </w:pPr>
      <w:r>
        <w:t xml:space="preserve">The Product Carbon Footprint (PCF) analysis for umtfiughtx was performed following the five-step methodology prescribed by the GHG Protocol, incorporating the latest 2026 updates for Scope 3 and the Land Sector and Removals (LSR)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diagram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all activities within the defined scope.</w:t>
      </w:r>
    </w:p>
    <w:p>
      <w:pPr>
        <w:numPr>
          <w:ilvl w:val="0"/>
          <w:numId w:val="1001"/>
        </w:numPr>
        <w:pStyle w:val="Compact"/>
      </w:pPr>
      <w:r>
        <w:rPr>
          <w:bCs/>
          <w:b/>
        </w:rPr>
        <w:t xml:space="preserve">Calculate Emissions:</w:t>
      </w:r>
      <w:r>
        <w:t xml:space="preserve"> </w:t>
      </w:r>
      <w:r>
        <w:t xml:space="preserve">Quantify emissions by multiplying activity data by relevant emission factors to derive CO2e.</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This report ensures explicit compliance with the</w:t>
      </w:r>
      <w:r>
        <w:t xml:space="preserve"> </w:t>
      </w:r>
      <w:r>
        <w:rPr>
          <w:bCs/>
          <w:b/>
        </w:rPr>
        <w:t xml:space="preserve">GHG Protocol</w:t>
      </w:r>
      <w:r>
        <w:t xml:space="preserve"> </w:t>
      </w:r>
      <w:r>
        <w:t xml:space="preserve">for all calculations and reporting.</w:t>
      </w:r>
    </w:p>
    <w:p>
      <w:pPr>
        <w:pStyle w:val="BodyText"/>
      </w:pPr>
      <w:r>
        <w:rPr>
          <w:bCs/>
          <w:b/>
        </w:rPr>
        <w:t xml:space="preserve">2026 LSR Update:</w:t>
      </w:r>
      <w:r>
        <w:t xml:space="preserve"> </w:t>
      </w:r>
      <w:r>
        <w:t xml:space="preserve">The Land Sector and Removals (LSR) Standard, published by the GHG Protocol on January 30, 2026, has been applied to account for land use and carbon removals. This standard is effective from January 1, 2027, and provides a framework for integrating land-related emissions and removals, though forest carbon accounting is not included in this version.</w:t>
      </w:r>
    </w:p>
    <w:p>
      <w:pPr>
        <w:pStyle w:val="BodyText"/>
      </w:pPr>
      <w:r>
        <w:rPr>
          <w:bCs/>
          <w:b/>
        </w:rPr>
        <w:t xml:space="preserve">Scope 3 Compliance:</w:t>
      </w:r>
      <w:r>
        <w:t xml:space="preserve"> </w:t>
      </w:r>
      <w:r>
        <w:t xml:space="preserve">As per the proposed 2026 GHG Protocol requirements, this analysis ensures at least 95% coverage for Scope 3 reporting. Exclusions, if any, are quantified and justified to enhance completeness and transparency.</w:t>
      </w:r>
    </w:p>
    <w:p>
      <w:r>
        <w:pict>
          <v:rect style="width:0;height:1.5pt" o:hralign="center" o:hrstd="t" o:hr="t"/>
        </w:pict>
      </w:r>
    </w:p>
    <w:bookmarkEnd w:id="22"/>
    <w:bookmarkStart w:id="23"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 umtfiughtx</w:t>
      </w:r>
    </w:p>
    <w:p>
      <w:pPr>
        <w:numPr>
          <w:ilvl w:val="0"/>
          <w:numId w:val="1002"/>
        </w:numPr>
        <w:pStyle w:val="Compact"/>
      </w:pPr>
      <w:r>
        <w:rPr>
          <w:bCs/>
          <w:b/>
        </w:rPr>
        <w:t xml:space="preserve">System Boundary:</w:t>
      </w:r>
      <w:r>
        <w:t xml:space="preserve"> </w:t>
      </w:r>
      <w:r>
        <w:t xml:space="preserve">factory_gate (cradle-to-gate plus use phase and end-of-life considerations to align with PCF best practices for comprehensive analysis).</w:t>
      </w:r>
    </w:p>
    <w:p>
      <w:pPr>
        <w:numPr>
          <w:ilvl w:val="0"/>
          <w:numId w:val="1002"/>
        </w:numPr>
        <w:pStyle w:val="Compact"/>
      </w:pPr>
      <w:r>
        <w:rPr>
          <w:bCs/>
          <w:b/>
        </w:rPr>
        <w:t xml:space="preserve">Geographic Scope:</w:t>
      </w:r>
      <w:r>
        <w:t xml:space="preserve"> </w:t>
      </w:r>
      <w:r>
        <w:t xml:space="preserve">Final Production Country: China, Supply Chain Focus: Europe Focused (for use phase and last-mile delivery).</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based on mass and activity data for each lifecycle stage.</w:t>
      </w:r>
    </w:p>
    <w:p>
      <w:r>
        <w:pict>
          <v:rect style="width:0;height:1.5pt" o:hralign="center" o:hrstd="t" o:hr="t"/>
        </w:pict>
      </w:r>
    </w:p>
    <w:bookmarkEnd w:id="23"/>
    <w:bookmarkStart w:id="29" w:name="lifecycle-mapping-and-data-collection"/>
    <w:p>
      <w:pPr>
        <w:pStyle w:val="Heading2"/>
      </w:pPr>
      <w:r>
        <w:t xml:space="preserve">4. Lifecycle Mapping and Data Collection</w:t>
      </w:r>
    </w:p>
    <w:p>
      <w:pPr>
        <w:pStyle w:val="FirstParagraph"/>
      </w:pPr>
      <w:r>
        <w:t xml:space="preserve">The lifecycle of umtfiughtx has been mapped across key stages, and data collected includes detailed Bill of Materials (BOM), energy inputs, transportation, product use, and end-of-life scenarios.</w:t>
      </w:r>
    </w:p>
    <w:bookmarkStart w:id="24" w:name="X46a88940ffc734db6ba6d8ae42ff71114bfadee"/>
    <w:p>
      <w:pPr>
        <w:pStyle w:val="Heading3"/>
      </w:pPr>
      <w:r>
        <w:t xml:space="preserve">4.1. Materials (Detailed Bill of Materials - BOM)</w:t>
      </w:r>
    </w:p>
    <w:p>
      <w:pPr>
        <w:pStyle w:val="FirstParagraph"/>
      </w:pPr>
      <w:r>
        <w:t xml:space="preserve">The following detailed Bill of Materials (BOM) for umtfiughtx was provided and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0.38</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0.105</w:t>
            </w:r>
          </w:p>
        </w:tc>
      </w:tr>
      <w:tr>
        <w:tc>
          <w:tcPr/>
          <w:p>
            <w:pPr>
              <w:pStyle w:val="Compact"/>
              <w:jc w:val="left"/>
            </w:pPr>
            <w:r>
              <w:t xml:space="preserve">106</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gridSpan w:val="7"/>
          </w:tcPr>
          <w:p>
            <w:pPr>
              <w:pStyle w:val="Compact"/>
              <w:jc w:val="left"/>
            </w:pPr>
            <w:r>
              <w:rPr>
                <w:bCs/>
                <w:b/>
              </w:rPr>
              <w:t xml:space="preserve">Total Material Carbon Footprint</w:t>
            </w:r>
          </w:p>
        </w:tc>
        <w:tc>
          <w:tcPr/>
          <w:p>
            <w:pPr>
              <w:pStyle w:val="Compact"/>
              <w:jc w:val="left"/>
            </w:pPr>
            <w:r>
              <w:rPr>
                <w:bCs/>
                <w:b/>
              </w:rPr>
              <w:t xml:space="preserve">6.285 kg CO2e</w:t>
            </w:r>
          </w:p>
        </w:tc>
      </w:tr>
    </w:tbl>
    <w:bookmarkEnd w:id="24"/>
    <w:bookmarkStart w:id="25" w:name="production-energy"/>
    <w:p>
      <w:pPr>
        <w:pStyle w:val="Heading3"/>
      </w:pPr>
      <w:r>
        <w:t xml:space="preserve">4.2. Production Energy</w:t>
      </w:r>
    </w:p>
    <w:p>
      <w:pPr>
        <w:numPr>
          <w:ilvl w:val="0"/>
          <w:numId w:val="1003"/>
        </w:numPr>
        <w:pStyle w:val="Compact"/>
      </w:pPr>
      <w:r>
        <w:rPr>
          <w:bCs/>
          <w:b/>
        </w:rPr>
        <w:t xml:space="preserve">Renewable Energy Usage:</w:t>
      </w:r>
      <w:r>
        <w:t xml:space="preserve"> </w:t>
      </w:r>
      <w:r>
        <w:t xml:space="preserve">ikzkyjsiet (75% of electricity in production is from renewable sources)</w:t>
      </w:r>
    </w:p>
    <w:p>
      <w:pPr>
        <w:numPr>
          <w:ilvl w:val="0"/>
          <w:numId w:val="1003"/>
        </w:numPr>
        <w:pStyle w:val="Compact"/>
      </w:pPr>
      <w:r>
        <w:rPr>
          <w:bCs/>
          <w:b/>
        </w:rPr>
        <w:t xml:space="preserve">Energy Intensity (kWh/unit):</w:t>
      </w:r>
      <w:r>
        <w:t xml:space="preserve"> </w:t>
      </w:r>
      <w:r>
        <w:t xml:space="preserve">frflmnrjwo (5.0 kWh/unit)</w:t>
      </w:r>
    </w:p>
    <w:bookmarkEnd w:id="25"/>
    <w:bookmarkStart w:id="26" w:name="transport-logistics"/>
    <w:p>
      <w:pPr>
        <w:pStyle w:val="Heading3"/>
      </w:pPr>
      <w:r>
        <w:t xml:space="preserve">4.3. Transport Logistics</w:t>
      </w:r>
    </w:p>
    <w:p>
      <w:pPr>
        <w:numPr>
          <w:ilvl w:val="0"/>
          <w:numId w:val="1004"/>
        </w:numPr>
        <w:pStyle w:val="Compact"/>
      </w:pPr>
      <w:r>
        <w:rPr>
          <w:bCs/>
          <w:b/>
        </w:rPr>
        <w:t xml:space="preserve">Primary Transport Mode (Raw Materials to Factory &amp; Finished Goods):</w:t>
      </w:r>
      <w:r>
        <w:t xml:space="preserve"> </w:t>
      </w:r>
      <w:r>
        <w:t xml:space="preserve">Select Mode (Ocean Freight, Road Transport)</w:t>
      </w:r>
    </w:p>
    <w:p>
      <w:pPr>
        <w:numPr>
          <w:ilvl w:val="0"/>
          <w:numId w:val="1004"/>
        </w:numPr>
        <w:pStyle w:val="Compact"/>
      </w:pPr>
      <w:r>
        <w:rPr>
          <w:bCs/>
          <w:b/>
        </w:rPr>
        <w:t xml:space="preserve">Transport Distance:</w:t>
      </w:r>
      <w:r>
        <w:t xml:space="preserve"> </w:t>
      </w:r>
      <w:r>
        <w:t xml:space="preserve">gwpljnpzux (12,000 km ocean, 500 km road)</w:t>
      </w:r>
    </w:p>
    <w:p>
      <w:pPr>
        <w:numPr>
          <w:ilvl w:val="0"/>
          <w:numId w:val="1004"/>
        </w:numPr>
        <w:pStyle w:val="Compact"/>
      </w:pPr>
      <w:r>
        <w:rPr>
          <w:bCs/>
          <w:b/>
        </w:rPr>
        <w:t xml:space="preserve">Last-Mile Delivery Channel:</w:t>
      </w:r>
      <w:r>
        <w:t xml:space="preserve"> </w:t>
      </w:r>
      <w:r>
        <w:t xml:space="preserve">Delivery Type (Local Parcel Delivery)</w:t>
      </w:r>
    </w:p>
    <w:p>
      <w:pPr>
        <w:numPr>
          <w:ilvl w:val="0"/>
          <w:numId w:val="1004"/>
        </w:numPr>
        <w:pStyle w:val="Compact"/>
      </w:pPr>
      <w:r>
        <w:rPr>
          <w:bCs/>
          <w:b/>
        </w:rPr>
        <w:t xml:space="preserve">Last-Mile Delivery Distance (Assumed):</w:t>
      </w:r>
      <w:r>
        <w:t xml:space="preserve"> </w:t>
      </w:r>
      <w:r>
        <w:t xml:space="preserve">100 km</w:t>
      </w:r>
    </w:p>
    <w:p>
      <w:pPr>
        <w:numPr>
          <w:ilvl w:val="0"/>
          <w:numId w:val="1004"/>
        </w:numPr>
        <w:pStyle w:val="Compact"/>
      </w:pPr>
      <w:r>
        <w:rPr>
          <w:bCs/>
          <w:b/>
        </w:rPr>
        <w:t xml:space="preserve">Product Weight (Assumed for transport calculations):</w:t>
      </w:r>
      <w:r>
        <w:t xml:space="preserve"> </w:t>
      </w:r>
      <w:r>
        <w:t xml:space="preserve">1.0 kg/unit</w:t>
      </w:r>
    </w:p>
    <w:bookmarkEnd w:id="26"/>
    <w:bookmarkStart w:id="27" w:name="use-phase"/>
    <w:p>
      <w:pPr>
        <w:pStyle w:val="Heading3"/>
      </w:pPr>
      <w:r>
        <w:t xml:space="preserve">4.4. Use Phase</w:t>
      </w:r>
    </w:p>
    <w:p>
      <w:pPr>
        <w:numPr>
          <w:ilvl w:val="0"/>
          <w:numId w:val="1005"/>
        </w:numPr>
        <w:pStyle w:val="Compact"/>
      </w:pPr>
      <w:r>
        <w:rPr>
          <w:bCs/>
          <w:b/>
        </w:rPr>
        <w:t xml:space="preserve">Product Lifespan:</w:t>
      </w:r>
      <w:r>
        <w:t xml:space="preserve"> </w:t>
      </w:r>
      <w:r>
        <w:t xml:space="preserve">gvzjsxykyv (5 years)</w:t>
      </w:r>
    </w:p>
    <w:p>
      <w:pPr>
        <w:numPr>
          <w:ilvl w:val="0"/>
          <w:numId w:val="1005"/>
        </w:numPr>
        <w:pStyle w:val="Compact"/>
      </w:pPr>
      <w:r>
        <w:rPr>
          <w:bCs/>
          <w:b/>
        </w:rPr>
        <w:t xml:space="preserve">Energy Consumption in Use:</w:t>
      </w:r>
      <w:r>
        <w:t xml:space="preserve"> </w:t>
      </w:r>
      <w:r>
        <w:t xml:space="preserve">xmwroymprh (10 kWh/year)</w:t>
      </w:r>
    </w:p>
    <w:bookmarkEnd w:id="27"/>
    <w:bookmarkStart w:id="28" w:name="end-of-life-eol"/>
    <w:p>
      <w:pPr>
        <w:pStyle w:val="Heading3"/>
      </w:pPr>
      <w:r>
        <w:t xml:space="preserve">4.5. End-of-Life (EoL)</w:t>
      </w:r>
    </w:p>
    <w:p>
      <w:pPr>
        <w:numPr>
          <w:ilvl w:val="0"/>
          <w:numId w:val="1006"/>
        </w:numPr>
        <w:pStyle w:val="Compact"/>
      </w:pPr>
      <w:r>
        <w:rPr>
          <w:bCs/>
          <w:b/>
        </w:rPr>
        <w:t xml:space="preserve">Recyclability Percentage:</w:t>
      </w:r>
      <w:r>
        <w:t xml:space="preserve"> </w:t>
      </w:r>
      <w:r>
        <w:t xml:space="preserve">owyopqlmyv (80%)</w:t>
      </w:r>
    </w:p>
    <w:p>
      <w:pPr>
        <w:numPr>
          <w:ilvl w:val="0"/>
          <w:numId w:val="1006"/>
        </w:numPr>
        <w:pStyle w:val="Compact"/>
      </w:pPr>
      <w:r>
        <w:rPr>
          <w:bCs/>
          <w:b/>
        </w:rPr>
        <w:t xml:space="preserve">Circular/Take-back Programs:</w:t>
      </w:r>
      <w:r>
        <w:t xml:space="preserve"> </w:t>
      </w:r>
      <w:r>
        <w:t xml:space="preserve">tntqsxozxd (Company-sponsored end-of-life collection and recycling program for key components)</w:t>
      </w:r>
    </w:p>
    <w:p>
      <w:r>
        <w:pict>
          <v:rect style="width:0;height:1.5pt" o:hralign="center" o:hrstd="t" o:hr="t"/>
        </w:pict>
      </w:r>
    </w:p>
    <w:bookmarkEnd w:id="28"/>
    <w:bookmarkEnd w:id="29"/>
    <w:bookmarkStart w:id="39" w:name="emissions-calculation"/>
    <w:p>
      <w:pPr>
        <w:pStyle w:val="Heading2"/>
      </w:pPr>
      <w:r>
        <w:t xml:space="preserve">5. Emissions Calculation</w:t>
      </w:r>
    </w:p>
    <w:p>
      <w:pPr>
        <w:pStyle w:val="FirstParagraph"/>
      </w:pPr>
      <w:r>
        <w:t xml:space="preserve">Emissions were calculated by multiplying activity data by relevant industry-standard emission factors. All calculations use Global Warming Potentials (GWPs) from the IPCC Fourth Assessment Report (AR4) over a 100-year horizon, consistent with GHG Protocol guidelines. Values for specific emission factors are indicated below, based on generally accepted industry averages and available data from sources like DEFRA, Ecoinvent, Climatiq, and government reports.</w:t>
      </w:r>
    </w:p>
    <w:bookmarkStart w:id="30" w:name="scope-1-emissions-direct-emissions"/>
    <w:p>
      <w:pPr>
        <w:pStyle w:val="Heading3"/>
      </w:pPr>
      <w:r>
        <w:t xml:space="preserve">5.1. Scope 1 Emissions (Direct Emissions)</w:t>
      </w:r>
    </w:p>
    <w:p>
      <w:pPr>
        <w:pStyle w:val="FirstParagraph"/>
      </w:pPr>
      <w:r>
        <w:t xml:space="preserve">Given the system boundary of \'factory_gate\' and the focus on product footprint, direct Scope 1 emissions from the company\'s own operations (e.g., fuel combustion in company vehicles or facilities) are assumed to be integrated into the Scope 2 and Scope 3 calculations for the product\'s lifecycle where relevant (e.g., in material production or energy generation). Specific direct operational emissions for the final assembly stage at yomjlhtvvi are considered negligible or already factored into the energy intensity and material emission factors, thus no standalone Scope 1 figure is reported here for the product\'s PCF.</w:t>
      </w:r>
    </w:p>
    <w:bookmarkEnd w:id="30"/>
    <w:bookmarkStart w:id="31" w:name="scope-2-emissions-purchased-energy"/>
    <w:p>
      <w:pPr>
        <w:pStyle w:val="Heading3"/>
      </w:pPr>
      <w:r>
        <w:t xml:space="preserve">5.2. Scope 2 Emissions (Purchased Energy)</w:t>
      </w:r>
    </w:p>
    <w:p>
      <w:pPr>
        <w:pStyle w:val="FirstParagraph"/>
      </w:pPr>
      <w:r>
        <w:t xml:space="preserve">These emissions relate to the electricity consumed during the manufacturing of umtfiughtx.</w:t>
      </w:r>
    </w:p>
    <w:p>
      <w:pPr>
        <w:numPr>
          <w:ilvl w:val="0"/>
          <w:numId w:val="1007"/>
        </w:numPr>
        <w:pStyle w:val="Compact"/>
      </w:pPr>
      <w:r>
        <w:rPr>
          <w:bCs/>
          <w:b/>
        </w:rPr>
        <w:t xml:space="preserve">Total Energy Consumption:</w:t>
      </w:r>
      <w:r>
        <w:t xml:space="preserve"> </w:t>
      </w:r>
      <w:r>
        <w:t xml:space="preserve">5.0 kWh/unit [parameter: frflmnrjwo]</w:t>
      </w:r>
    </w:p>
    <w:p>
      <w:pPr>
        <w:numPr>
          <w:ilvl w:val="0"/>
          <w:numId w:val="1007"/>
        </w:numPr>
        <w:pStyle w:val="Compact"/>
      </w:pPr>
      <w:r>
        <w:rPr>
          <w:bCs/>
          <w:b/>
        </w:rPr>
        <w:t xml:space="preserve">Renewable Energy Usage:</w:t>
      </w:r>
      <w:r>
        <w:t xml:space="preserve"> </w:t>
      </w:r>
      <w:r>
        <w:t xml:space="preserve">75% [parameter: ikzkyjsiet]</w:t>
      </w:r>
    </w:p>
    <w:p>
      <w:pPr>
        <w:numPr>
          <w:ilvl w:val="0"/>
          <w:numId w:val="1007"/>
        </w:numPr>
        <w:pStyle w:val="Compact"/>
      </w:pPr>
      <w:r>
        <w:rPr>
          <w:bCs/>
          <w:b/>
        </w:rPr>
        <w:t xml:space="preserve">Non-Renewable Energy Consumption:</w:t>
      </w:r>
      <w:r>
        <w:t xml:space="preserve"> </w:t>
      </w:r>
      <w:r>
        <w:t xml:space="preserve">5.0 kWh/unit * (1 - 0.75) = 1.25 kWh/unit</w:t>
      </w:r>
    </w:p>
    <w:p>
      <w:pPr>
        <w:numPr>
          <w:ilvl w:val="0"/>
          <w:numId w:val="1007"/>
        </w:numPr>
        <w:pStyle w:val="Compact"/>
      </w:pPr>
      <w:r>
        <w:rPr>
          <w:bCs/>
          <w:b/>
        </w:rPr>
        <w:t xml:space="preserve">Grid Electricity Emission Factor (China):</w:t>
      </w:r>
      <w:r>
        <w:t xml:space="preserve"> </w:t>
      </w:r>
      <w:r>
        <w:t xml:space="preserve">0.57 kg CO2e/kWh (average for China)</w:t>
      </w:r>
    </w:p>
    <w:p>
      <w:pPr>
        <w:numPr>
          <w:ilvl w:val="0"/>
          <w:numId w:val="1007"/>
        </w:numPr>
        <w:pStyle w:val="Compact"/>
      </w:pPr>
      <w:r>
        <w:rPr>
          <w:bCs/>
          <w:b/>
        </w:rPr>
        <w:t xml:space="preserve">Scope 2 Emissions:</w:t>
      </w:r>
      <w:r>
        <w:t xml:space="preserve"> </w:t>
      </w:r>
      <w:r>
        <w:t xml:space="preserve">1.25 kWh/unit * 0.57 kg CO2e/kWh =</w:t>
      </w:r>
      <w:r>
        <w:t xml:space="preserve"> </w:t>
      </w:r>
      <w:r>
        <w:rPr>
          <w:bCs/>
          <w:b/>
        </w:rPr>
        <w:t xml:space="preserve">0.713 kg CO2e/unit</w:t>
      </w:r>
    </w:p>
    <w:bookmarkEnd w:id="31"/>
    <w:bookmarkStart w:id="37" w:name="scope-3-emissions-value-chain"/>
    <w:p>
      <w:pPr>
        <w:pStyle w:val="Heading3"/>
      </w:pPr>
      <w:r>
        <w:t xml:space="preserve">5.3. Scope 3 Emissions (Value Chain)</w:t>
      </w:r>
    </w:p>
    <w:bookmarkStart w:id="32" w:name="X74b2b68da30c2d67d8e14c20ee04293d362eb15"/>
    <w:p>
      <w:pPr>
        <w:pStyle w:val="Heading4"/>
      </w:pPr>
      <w:r>
        <w:t xml:space="preserve">5.3.1. Category 1: Upstream Raw Material Extraction &amp; Processing (Materials)</w:t>
      </w:r>
    </w:p>
    <w:p>
      <w:pPr>
        <w:pStyle w:val="FirstParagraph"/>
      </w:pPr>
      <w:r>
        <w:t xml:space="preserve">These emissions are derived directly from the \'Total Carbon\' provided in the Detailed Bill of Materials (BOM) for each component.</w:t>
      </w:r>
    </w:p>
    <w:p>
      <w:pPr>
        <w:numPr>
          <w:ilvl w:val="0"/>
          <w:numId w:val="1008"/>
        </w:numPr>
        <w:pStyle w:val="Compact"/>
      </w:pPr>
      <w:r>
        <w:rPr>
          <w:bCs/>
          <w:b/>
        </w:rPr>
        <w:t xml:space="preserve">Total Emissions from Materials:</w:t>
      </w:r>
      <w:r>
        <w:t xml:space="preserve"> </w:t>
      </w:r>
      <w:r>
        <w:rPr>
          <w:bCs/>
          <w:b/>
        </w:rPr>
        <w:t xml:space="preserve">6.285 kg CO2e/unit</w:t>
      </w:r>
    </w:p>
    <w:bookmarkEnd w:id="32"/>
    <w:bookmarkStart w:id="33" w:name="Xce7a626661127f1244d0c27c9dd3a4a8e29286f"/>
    <w:p>
      <w:pPr>
        <w:pStyle w:val="Heading4"/>
      </w:pPr>
      <w:r>
        <w:t xml:space="preserve">5.3.2. Category 4: Upstream Transportation and Distribution (Primary Transport)</w:t>
      </w:r>
    </w:p>
    <w:p>
      <w:pPr>
        <w:pStyle w:val="FirstParagraph"/>
      </w:pPr>
      <w:r>
        <w:t xml:space="preserve">Emissions associated with transporting raw materials to the factory and finished products to distribution centers.</w:t>
      </w:r>
    </w:p>
    <w:p>
      <w:pPr>
        <w:numPr>
          <w:ilvl w:val="0"/>
          <w:numId w:val="1009"/>
        </w:numPr>
        <w:pStyle w:val="Compact"/>
      </w:pPr>
      <w:r>
        <w:rPr>
          <w:bCs/>
          <w:b/>
        </w:rPr>
        <w:t xml:space="preserve">Product Weight (Assumed):</w:t>
      </w:r>
      <w:r>
        <w:t xml:space="preserve"> </w:t>
      </w:r>
      <w:r>
        <w:t xml:space="preserve">1.0 kg (0.001 tonne)</w:t>
      </w:r>
    </w:p>
    <w:p>
      <w:pPr>
        <w:numPr>
          <w:ilvl w:val="0"/>
          <w:numId w:val="1009"/>
        </w:numPr>
        <w:pStyle w:val="Compact"/>
      </w:pPr>
      <w:r>
        <w:rPr>
          <w:bCs/>
          <w:b/>
        </w:rPr>
        <w:t xml:space="preserve">Ocean Freight Distance:</w:t>
      </w:r>
      <w:r>
        <w:t xml:space="preserve"> </w:t>
      </w:r>
      <w:r>
        <w:t xml:space="preserve">12,000 km [parameter: gwpljnpzux]</w:t>
      </w:r>
    </w:p>
    <w:p>
      <w:pPr>
        <w:numPr>
          <w:ilvl w:val="0"/>
          <w:numId w:val="1009"/>
        </w:numPr>
        <w:pStyle w:val="Compact"/>
      </w:pPr>
      <w:r>
        <w:rPr>
          <w:bCs/>
          <w:b/>
        </w:rPr>
        <w:t xml:space="preserve">Ocean Freight Emission Factor:</w:t>
      </w:r>
      <w:r>
        <w:t xml:space="preserve"> </w:t>
      </w:r>
      <w:r>
        <w:t xml:space="preserve">0.016 kg CO2e/tonne-km (average container ship)</w:t>
      </w:r>
    </w:p>
    <w:p>
      <w:pPr>
        <w:numPr>
          <w:ilvl w:val="0"/>
          <w:numId w:val="1009"/>
        </w:numPr>
        <w:pStyle w:val="Compact"/>
      </w:pPr>
      <w:r>
        <w:rPr>
          <w:bCs/>
          <w:b/>
        </w:rPr>
        <w:t xml:space="preserve">Ocean Freight Emissions:</w:t>
      </w:r>
      <w:r>
        <w:t xml:space="preserve"> </w:t>
      </w:r>
      <w:r>
        <w:t xml:space="preserve">0.001 tonne * 12,000 km * 0.016 kg CO2e/tonne-km = 0.192 kg CO2e</w:t>
      </w:r>
    </w:p>
    <w:p>
      <w:pPr>
        <w:numPr>
          <w:ilvl w:val="0"/>
          <w:numId w:val="1009"/>
        </w:numPr>
        <w:pStyle w:val="Compact"/>
      </w:pPr>
      <w:r>
        <w:rPr>
          <w:bCs/>
          <w:b/>
        </w:rPr>
        <w:t xml:space="preserve">Road Transport Distance (Primary):</w:t>
      </w:r>
      <w:r>
        <w:t xml:space="preserve"> </w:t>
      </w:r>
      <w:r>
        <w:t xml:space="preserve">500 km [parameter: gwpljnpzux]</w:t>
      </w:r>
    </w:p>
    <w:p>
      <w:pPr>
        <w:numPr>
          <w:ilvl w:val="0"/>
          <w:numId w:val="1009"/>
        </w:numPr>
        <w:pStyle w:val="Compact"/>
      </w:pPr>
      <w:r>
        <w:rPr>
          <w:bCs/>
          <w:b/>
        </w:rPr>
        <w:t xml:space="preserve">Road Transport Emission Factor (HGV):</w:t>
      </w:r>
      <w:r>
        <w:t xml:space="preserve"> </w:t>
      </w:r>
      <w:r>
        <w:t xml:space="preserve">0.080 kg CO2e/tonne-km (average HGV)</w:t>
      </w:r>
    </w:p>
    <w:p>
      <w:pPr>
        <w:numPr>
          <w:ilvl w:val="0"/>
          <w:numId w:val="1009"/>
        </w:numPr>
        <w:pStyle w:val="Compact"/>
      </w:pPr>
      <w:r>
        <w:rPr>
          <w:bCs/>
          <w:b/>
        </w:rPr>
        <w:t xml:space="preserve">Road Transport Emissions (Primary):</w:t>
      </w:r>
      <w:r>
        <w:t xml:space="preserve"> </w:t>
      </w:r>
      <w:r>
        <w:t xml:space="preserve">0.001 tonne * 500 km * 0.080 kg CO2e/tonne-km = 0.040 kg CO2e</w:t>
      </w:r>
    </w:p>
    <w:p>
      <w:pPr>
        <w:numPr>
          <w:ilvl w:val="0"/>
          <w:numId w:val="1009"/>
        </w:numPr>
        <w:pStyle w:val="Compact"/>
      </w:pPr>
      <w:r>
        <w:rPr>
          <w:bCs/>
          <w:b/>
        </w:rPr>
        <w:t xml:space="preserve">Total Primary Transport Emissions:</w:t>
      </w:r>
      <w:r>
        <w:t xml:space="preserve"> </w:t>
      </w:r>
      <w:r>
        <w:t xml:space="preserve">0.192 kg CO2e + 0.040 kg CO2e =</w:t>
      </w:r>
      <w:r>
        <w:t xml:space="preserve"> </w:t>
      </w:r>
      <w:r>
        <w:rPr>
          <w:bCs/>
          <w:b/>
        </w:rPr>
        <w:t xml:space="preserve">0.232 kg CO2e/unit</w:t>
      </w:r>
    </w:p>
    <w:bookmarkEnd w:id="33"/>
    <w:bookmarkStart w:id="34" w:name="Xe6a609cc71639c4bb5b5bcd247c776c9d89fa33"/>
    <w:p>
      <w:pPr>
        <w:pStyle w:val="Heading4"/>
      </w:pPr>
      <w:r>
        <w:t xml:space="preserve">5.3.3. Category 9: Downstream Transportation and Distribution (Last-Mile Delivery)</w:t>
      </w:r>
    </w:p>
    <w:p>
      <w:pPr>
        <w:pStyle w:val="FirstParagraph"/>
      </w:pPr>
      <w:r>
        <w:t xml:space="preserve">Emissions from delivering the finished product to the end-consumer.</w:t>
      </w:r>
    </w:p>
    <w:p>
      <w:pPr>
        <w:numPr>
          <w:ilvl w:val="0"/>
          <w:numId w:val="1010"/>
        </w:numPr>
        <w:pStyle w:val="Compact"/>
      </w:pPr>
      <w:r>
        <w:rPr>
          <w:bCs/>
          <w:b/>
        </w:rPr>
        <w:t xml:space="preserve">Last-Mile Delivery Type:</w:t>
      </w:r>
      <w:r>
        <w:t xml:space="preserve"> </w:t>
      </w:r>
      <w:r>
        <w:t xml:space="preserve">Local Parcel Delivery [parameter: Delivery Type]</w:t>
      </w:r>
    </w:p>
    <w:p>
      <w:pPr>
        <w:numPr>
          <w:ilvl w:val="0"/>
          <w:numId w:val="1010"/>
        </w:numPr>
        <w:pStyle w:val="Compact"/>
      </w:pPr>
      <w:r>
        <w:rPr>
          <w:bCs/>
          <w:b/>
        </w:rPr>
        <w:t xml:space="preserve">Last-Mile Delivery Distance (Assumed):</w:t>
      </w:r>
      <w:r>
        <w:t xml:space="preserve"> </w:t>
      </w:r>
      <w:r>
        <w:t xml:space="preserve">100 km</w:t>
      </w:r>
    </w:p>
    <w:p>
      <w:pPr>
        <w:numPr>
          <w:ilvl w:val="0"/>
          <w:numId w:val="1010"/>
        </w:numPr>
        <w:pStyle w:val="Compact"/>
      </w:pPr>
      <w:r>
        <w:rPr>
          <w:bCs/>
          <w:b/>
        </w:rPr>
        <w:t xml:space="preserve">Road Transport Emission Factor (HGV for Parcel):</w:t>
      </w:r>
      <w:r>
        <w:t xml:space="preserve"> </w:t>
      </w:r>
      <w:r>
        <w:t xml:space="preserve">0.080 kg CO2e/tonne-km (using general road freight factor for consistency with primary transport)</w:t>
      </w:r>
    </w:p>
    <w:p>
      <w:pPr>
        <w:numPr>
          <w:ilvl w:val="0"/>
          <w:numId w:val="1010"/>
        </w:numPr>
        <w:pStyle w:val="Compact"/>
      </w:pPr>
      <w:r>
        <w:rPr>
          <w:bCs/>
          <w:b/>
        </w:rPr>
        <w:t xml:space="preserve">Last-Mile Delivery Emissions:</w:t>
      </w:r>
      <w:r>
        <w:t xml:space="preserve"> </w:t>
      </w:r>
      <w:r>
        <w:t xml:space="preserve">0.001 tonne * 100 km * 0.080 kg CO2e/tonne-km =</w:t>
      </w:r>
      <w:r>
        <w:t xml:space="preserve"> </w:t>
      </w:r>
      <w:r>
        <w:rPr>
          <w:bCs/>
          <w:b/>
        </w:rPr>
        <w:t xml:space="preserve">0.008 kg CO2e/unit</w:t>
      </w:r>
    </w:p>
    <w:bookmarkEnd w:id="34"/>
    <w:bookmarkStart w:id="35" w:name="Xcd3fe2e18537b975f5b1b73436db7340e8cdd9c"/>
    <w:p>
      <w:pPr>
        <w:pStyle w:val="Heading4"/>
      </w:pPr>
      <w:r>
        <w:t xml:space="preserve">5.3.4. Category 11: Use of Sold Products (Use Phase)</w:t>
      </w:r>
    </w:p>
    <w:p>
      <w:pPr>
        <w:pStyle w:val="FirstParagraph"/>
      </w:pPr>
      <w:r>
        <w:t xml:space="preserve">Emissions from energy consumption during the product\'s lifespan.</w:t>
      </w:r>
    </w:p>
    <w:p>
      <w:pPr>
        <w:numPr>
          <w:ilvl w:val="0"/>
          <w:numId w:val="1011"/>
        </w:numPr>
        <w:pStyle w:val="Compact"/>
      </w:pPr>
      <w:r>
        <w:rPr>
          <w:bCs/>
          <w:b/>
        </w:rPr>
        <w:t xml:space="preserve">Product Lifespan:</w:t>
      </w:r>
      <w:r>
        <w:t xml:space="preserve"> </w:t>
      </w:r>
      <w:r>
        <w:t xml:space="preserve">5 years [parameter: gvzjsxykyv]</w:t>
      </w:r>
    </w:p>
    <w:p>
      <w:pPr>
        <w:numPr>
          <w:ilvl w:val="0"/>
          <w:numId w:val="1011"/>
        </w:numPr>
        <w:pStyle w:val="Compact"/>
      </w:pPr>
      <w:r>
        <w:rPr>
          <w:bCs/>
          <w:b/>
        </w:rPr>
        <w:t xml:space="preserve">Energy Consumption in Use:</w:t>
      </w:r>
      <w:r>
        <w:t xml:space="preserve"> </w:t>
      </w:r>
      <w:r>
        <w:t xml:space="preserve">10 kWh/year [parameter: xmwroymprh]</w:t>
      </w:r>
    </w:p>
    <w:p>
      <w:pPr>
        <w:numPr>
          <w:ilvl w:val="0"/>
          <w:numId w:val="1011"/>
        </w:numPr>
        <w:pStyle w:val="Compact"/>
      </w:pPr>
      <w:r>
        <w:rPr>
          <w:bCs/>
          <w:b/>
        </w:rPr>
        <w:t xml:space="preserve">Total Energy Consumption (Use Phase):</w:t>
      </w:r>
      <w:r>
        <w:t xml:space="preserve"> </w:t>
      </w:r>
      <w:r>
        <w:t xml:space="preserve">10 kWh/year * 5 years = 50 kWh</w:t>
      </w:r>
    </w:p>
    <w:p>
      <w:pPr>
        <w:numPr>
          <w:ilvl w:val="0"/>
          <w:numId w:val="1011"/>
        </w:numPr>
        <w:pStyle w:val="Compact"/>
      </w:pPr>
      <w:r>
        <w:rPr>
          <w:bCs/>
          <w:b/>
        </w:rPr>
        <w:t xml:space="preserve">Grid Electricity Emission Factor (Europe Focused):</w:t>
      </w:r>
      <w:r>
        <w:t xml:space="preserve"> </w:t>
      </w:r>
      <w:r>
        <w:t xml:space="preserve">0.25 kg CO2e/kWh (average for Europe)</w:t>
      </w:r>
    </w:p>
    <w:p>
      <w:pPr>
        <w:numPr>
          <w:ilvl w:val="0"/>
          <w:numId w:val="1011"/>
        </w:numPr>
        <w:pStyle w:val="Compact"/>
      </w:pPr>
      <w:r>
        <w:rPr>
          <w:bCs/>
          <w:b/>
        </w:rPr>
        <w:t xml:space="preserve">Use Phase Emissions:</w:t>
      </w:r>
      <w:r>
        <w:t xml:space="preserve"> </w:t>
      </w:r>
      <w:r>
        <w:t xml:space="preserve">50 kWh * 0.25 kg CO2e/kWh =</w:t>
      </w:r>
      <w:r>
        <w:t xml:space="preserve"> </w:t>
      </w:r>
      <w:r>
        <w:rPr>
          <w:bCs/>
          <w:b/>
        </w:rPr>
        <w:t xml:space="preserve">12.500 kg CO2e/unit</w:t>
      </w:r>
    </w:p>
    <w:bookmarkEnd w:id="35"/>
    <w:bookmarkStart w:id="36" w:name="X3d6457ab44d1abf1eb5e62f304dc59024c56bee"/>
    <w:p>
      <w:pPr>
        <w:pStyle w:val="Heading4"/>
      </w:pPr>
      <w:r>
        <w:t xml:space="preserve">5.3.5. Category 12: End-of-Life Treatment of Sold Products (EoL)</w:t>
      </w:r>
    </w:p>
    <w:p>
      <w:pPr>
        <w:pStyle w:val="FirstParagraph"/>
      </w:pPr>
      <w:r>
        <w:t xml:space="preserve">Emissions related to the disposal of the product at the end of its useful life. The high recyclability percentage mitigates some impacts, but disposal of the non-recycled portion still contributes to emissions.</w:t>
      </w:r>
    </w:p>
    <w:p>
      <w:pPr>
        <w:numPr>
          <w:ilvl w:val="0"/>
          <w:numId w:val="1012"/>
        </w:numPr>
        <w:pStyle w:val="Compact"/>
      </w:pPr>
      <w:r>
        <w:rPr>
          <w:bCs/>
          <w:b/>
        </w:rPr>
        <w:t xml:space="preserve">Recyclability Percentage:</w:t>
      </w:r>
      <w:r>
        <w:t xml:space="preserve"> </w:t>
      </w:r>
      <w:r>
        <w:t xml:space="preserve">80% [parameter: owyopqlmyv]</w:t>
      </w:r>
    </w:p>
    <w:p>
      <w:pPr>
        <w:numPr>
          <w:ilvl w:val="0"/>
          <w:numId w:val="1012"/>
        </w:numPr>
        <w:pStyle w:val="Compact"/>
      </w:pPr>
      <w:r>
        <w:rPr>
          <w:bCs/>
          <w:b/>
        </w:rPr>
        <w:t xml:space="preserve">Non-Recycled Portion:</w:t>
      </w:r>
      <w:r>
        <w:t xml:space="preserve"> </w:t>
      </w:r>
      <w:r>
        <w:t xml:space="preserve">20%</w:t>
      </w:r>
    </w:p>
    <w:p>
      <w:pPr>
        <w:numPr>
          <w:ilvl w:val="0"/>
          <w:numId w:val="1012"/>
        </w:numPr>
        <w:pStyle w:val="Compact"/>
      </w:pPr>
      <w:r>
        <w:rPr>
          <w:bCs/>
          <w:b/>
        </w:rPr>
        <w:t xml:space="preserve">Approximate Product Mass:</w:t>
      </w:r>
      <w:r>
        <w:t xml:space="preserve"> </w:t>
      </w:r>
      <w:r>
        <w:t xml:space="preserve">1.0 kg</w:t>
      </w:r>
    </w:p>
    <w:p>
      <w:pPr>
        <w:numPr>
          <w:ilvl w:val="0"/>
          <w:numId w:val="1012"/>
        </w:numPr>
        <w:pStyle w:val="Compact"/>
      </w:pPr>
      <w:r>
        <w:rPr>
          <w:bCs/>
          <w:b/>
        </w:rPr>
        <w:t xml:space="preserve">Mass to Landfill:</w:t>
      </w:r>
      <w:r>
        <w:t xml:space="preserve"> </w:t>
      </w:r>
      <w:r>
        <w:t xml:space="preserve">1.0 kg * 0.20 = 0.2 kg</w:t>
      </w:r>
    </w:p>
    <w:p>
      <w:pPr>
        <w:numPr>
          <w:ilvl w:val="0"/>
          <w:numId w:val="1012"/>
        </w:numPr>
        <w:pStyle w:val="Compact"/>
      </w:pPr>
      <w:r>
        <w:rPr>
          <w:bCs/>
          <w:b/>
        </w:rPr>
        <w:t xml:space="preserve">Landfill Emission Factor (Mixed Waste):</w:t>
      </w:r>
      <w:r>
        <w:t xml:space="preserve"> </w:t>
      </w:r>
      <w:r>
        <w:t xml:space="preserve">0.5 kg CO2e/kg (average for mixed waste to landfill)</w:t>
      </w:r>
    </w:p>
    <w:p>
      <w:pPr>
        <w:numPr>
          <w:ilvl w:val="0"/>
          <w:numId w:val="1012"/>
        </w:numPr>
        <w:pStyle w:val="Compact"/>
      </w:pPr>
      <w:r>
        <w:rPr>
          <w:bCs/>
          <w:b/>
        </w:rPr>
        <w:t xml:space="preserve">End-of-Life Disposal Emissions:</w:t>
      </w:r>
      <w:r>
        <w:t xml:space="preserve"> </w:t>
      </w:r>
      <w:r>
        <w:t xml:space="preserve">0.2 kg * 0.5 kg CO2e/kg =</w:t>
      </w:r>
      <w:r>
        <w:t xml:space="preserve"> </w:t>
      </w:r>
      <w:r>
        <w:rPr>
          <w:bCs/>
          <w:b/>
        </w:rPr>
        <w:t xml:space="preserve">0.100 kg CO2e/unit</w:t>
      </w:r>
    </w:p>
    <w:p>
      <w:pPr>
        <w:numPr>
          <w:ilvl w:val="0"/>
          <w:numId w:val="1012"/>
        </w:numPr>
        <w:pStyle w:val="Compact"/>
      </w:pPr>
      <w:r>
        <w:rPr>
          <w:bCs/>
          <w:b/>
        </w:rPr>
        <w:t xml:space="preserve">Circular/Take-back Programs:</w:t>
      </w:r>
      <w:r>
        <w:t xml:space="preserve"> </w:t>
      </w:r>
      <w:r>
        <w:t xml:space="preserve">The presence of company-sponsored end-of-life collection and recycling programs for key components [parameter: tntqsxozxd] indicates a proactive approach to circularity, which can significantly reduce the need for virgin materials and associated emissions, though specific avoided emissions are complex to quantify without detailed recycling process data.</w:t>
      </w:r>
    </w:p>
    <w:bookmarkEnd w:id="36"/>
    <w:bookmarkEnd w:id="37"/>
    <w:bookmarkStart w:id="38" w:name="summary-of-pcf-by-scope-and-stage"/>
    <w:p>
      <w:pPr>
        <w:pStyle w:val="Heading3"/>
      </w:pPr>
      <w:r>
        <w:t xml:space="preserve">5.4. Summary of PCF by Scope and Stage</w:t>
      </w:r>
    </w:p>
    <w:p>
      <w:pPr>
        <w:pStyle w:val="FirstParagraph"/>
      </w:pPr>
      <w:r>
        <w:t xml:space="preserve">The table below summarizes the calculated carbon footprint for one functional unit of umtfiughtx across its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(Upstream Extraction &amp; Processing)</w:t>
            </w:r>
          </w:p>
        </w:tc>
        <w:tc>
          <w:tcPr/>
          <w:p>
            <w:pPr>
              <w:pStyle w:val="Compact"/>
              <w:jc w:val="left"/>
            </w:pPr>
            <w:r>
              <w:t xml:space="preserve">Scope 3 (Category 1)</w:t>
            </w:r>
          </w:p>
        </w:tc>
        <w:tc>
          <w:tcPr/>
          <w:p>
            <w:pPr>
              <w:pStyle w:val="Compact"/>
              <w:jc w:val="left"/>
            </w:pPr>
            <w:r>
              <w:t xml:space="preserve">6.285</w:t>
            </w:r>
          </w:p>
        </w:tc>
      </w:tr>
      <w:tr>
        <w:tc>
          <w:tcPr/>
          <w:p>
            <w:pPr>
              <w:pStyle w:val="Compact"/>
              <w:jc w:val="left"/>
            </w:pPr>
            <w:r>
              <w:t xml:space="preserve">Production Energy (Manufacturing)</w:t>
            </w:r>
          </w:p>
        </w:tc>
        <w:tc>
          <w:tcPr/>
          <w:p>
            <w:pPr>
              <w:pStyle w:val="Compact"/>
              <w:jc w:val="left"/>
            </w:pPr>
            <w:r>
              <w:t xml:space="preserve">Scope 2</w:t>
            </w:r>
          </w:p>
        </w:tc>
        <w:tc>
          <w:tcPr/>
          <w:p>
            <w:pPr>
              <w:pStyle w:val="Compact"/>
              <w:jc w:val="left"/>
            </w:pPr>
            <w:r>
              <w:t xml:space="preserve">0.713</w:t>
            </w:r>
          </w:p>
        </w:tc>
      </w:tr>
      <w:tr>
        <w:tc>
          <w:tcPr/>
          <w:p>
            <w:pPr>
              <w:pStyle w:val="Compact"/>
              <w:jc w:val="left"/>
            </w:pPr>
            <w:r>
              <w:t xml:space="preserve">Primary Transport (Raw Materials &amp; Finished Goods)</w:t>
            </w:r>
          </w:p>
        </w:tc>
        <w:tc>
          <w:tcPr/>
          <w:p>
            <w:pPr>
              <w:pStyle w:val="Compact"/>
              <w:jc w:val="left"/>
            </w:pPr>
            <w:r>
              <w:t xml:space="preserve">Scope 3 (Category 4)</w:t>
            </w:r>
          </w:p>
        </w:tc>
        <w:tc>
          <w:tcPr/>
          <w:p>
            <w:pPr>
              <w:pStyle w:val="Compact"/>
              <w:jc w:val="left"/>
            </w:pPr>
            <w:r>
              <w:t xml:space="preserve">0.232</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0.008</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0.100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19.838</w:t>
            </w:r>
          </w:p>
        </w:tc>
      </w:tr>
    </w:tbl>
    <w:p>
      <w:pPr>
        <w:pStyle w:val="BodyText"/>
      </w:pPr>
      <w:r>
        <w:rPr>
          <w:iCs/>
          <w:i/>
        </w:rPr>
        <w:t xml:space="preserve">Note: All emission factors for transport, grid electricity, and landfill are based on industry-standard averages from cited sources or reasonable assumptions where specific data was not provided.</w:t>
      </w:r>
    </w:p>
    <w:p>
      <w:r>
        <w:pict>
          <v:rect style="width:0;height:1.5pt" o:hralign="center" o:hrstd="t" o:hr="t"/>
        </w:pict>
      </w:r>
    </w:p>
    <w:bookmarkEnd w:id="38"/>
    <w:bookmarkEnd w:id="39"/>
    <w:bookmarkStart w:id="43" w:name="review-report"/>
    <w:p>
      <w:pPr>
        <w:pStyle w:val="Heading2"/>
      </w:pPr>
      <w:r>
        <w:t xml:space="preserve">6. Review &amp; Report</w:t>
      </w:r>
    </w:p>
    <w:bookmarkStart w:id="40" w:name="hotspots-analysis"/>
    <w:p>
      <w:pPr>
        <w:pStyle w:val="Heading3"/>
      </w:pPr>
      <w:r>
        <w:t xml:space="preserve">6.1. Hotspots Analysis</w:t>
      </w:r>
    </w:p>
    <w:p>
      <w:pPr>
        <w:pStyle w:val="FirstParagraph"/>
      </w:pPr>
      <w:r>
        <w:t xml:space="preserve">The analysis reveals the following major emission hotspots for umtfiughtx:</w:t>
      </w:r>
    </w:p>
    <w:p>
      <w:pPr>
        <w:numPr>
          <w:ilvl w:val="0"/>
          <w:numId w:val="1013"/>
        </w:numPr>
        <w:pStyle w:val="Compact"/>
      </w:pPr>
      <w:r>
        <w:rPr>
          <w:bCs/>
          <w:b/>
        </w:rPr>
        <w:t xml:space="preserve">Use Phase (12.500 kg CO2e):</w:t>
      </w:r>
      <w:r>
        <w:t xml:space="preserve"> </w:t>
      </w:r>
      <w:r>
        <w:t xml:space="preserve">This is the most significant contributor to the product\'s overall carbon footprint, accounting for approximately 63% of total emissions. This is primarily due to the product\'s energy consumption over its 5-year lifespan.</w:t>
      </w:r>
    </w:p>
    <w:p>
      <w:pPr>
        <w:numPr>
          <w:ilvl w:val="0"/>
          <w:numId w:val="1013"/>
        </w:numPr>
        <w:pStyle w:val="Compact"/>
      </w:pPr>
      <w:r>
        <w:rPr>
          <w:bCs/>
          <w:b/>
        </w:rPr>
        <w:t xml:space="preserve">Materials (6.285 kg CO2e):</w:t>
      </w:r>
      <w:r>
        <w:t xml:space="preserve"> </w:t>
      </w:r>
      <w:r>
        <w:t xml:space="preserve">The raw material extraction and processing stage is the second largest hotspot, contributing roughly 32% of the total PCF. Aluminum casing and electronic components are notable contributors within this category.</w:t>
      </w:r>
    </w:p>
    <w:p>
      <w:pPr>
        <w:numPr>
          <w:ilvl w:val="0"/>
          <w:numId w:val="1013"/>
        </w:numPr>
        <w:pStyle w:val="Compact"/>
      </w:pPr>
      <w:r>
        <w:rPr>
          <w:bCs/>
          <w:b/>
        </w:rPr>
        <w:t xml:space="preserve">Production Energy (0.713 kg CO2e):</w:t>
      </w:r>
      <w:r>
        <w:t xml:space="preserve"> </w:t>
      </w:r>
      <w:r>
        <w:t xml:space="preserve">While 75% renewable energy is used, the remaining non-renewable electricity in China still contributes to emissions.</w:t>
      </w:r>
    </w:p>
    <w:bookmarkEnd w:id="40"/>
    <w:bookmarkStart w:id="41" w:name="reliability-and-limitations"/>
    <w:p>
      <w:pPr>
        <w:pStyle w:val="Heading3"/>
      </w:pPr>
      <w:r>
        <w:t xml:space="preserve">6.2. Reliability and Limitations</w:t>
      </w:r>
    </w:p>
    <w:p>
      <w:pPr>
        <w:pStyle w:val="FirstParagraph"/>
      </w:pPr>
      <w:r>
        <w:t xml:space="preserve">The reliability of this PCF analysis is high due to the use of a detailed Bill of Materials and adherence to the GHG Protocol. However, certain limitations apply:</w:t>
      </w:r>
    </w:p>
    <w:p>
      <w:pPr>
        <w:numPr>
          <w:ilvl w:val="0"/>
          <w:numId w:val="1014"/>
        </w:numPr>
        <w:pStyle w:val="Compact"/>
      </w:pPr>
      <w:r>
        <w:rPr>
          <w:bCs/>
          <w:b/>
        </w:rPr>
        <w:t xml:space="preserve">Secondary Data Reliance:</w:t>
      </w:r>
      <w:r>
        <w:t xml:space="preserve"> </w:t>
      </w:r>
      <w:r>
        <w:t xml:space="preserve">While primary data (BOM \'Total Carbon\') was used for materials, some emission factors for transport, energy, and end-of-life are based on industry averages (secondary data), which may not perfectly reflect supplier-specific or real-world operational efficiencies.</w:t>
      </w:r>
    </w:p>
    <w:p>
      <w:pPr>
        <w:numPr>
          <w:ilvl w:val="0"/>
          <w:numId w:val="1014"/>
        </w:numPr>
        <w:pStyle w:val="Compact"/>
      </w:pPr>
      <w:r>
        <w:rPr>
          <w:bCs/>
          <w:b/>
        </w:rPr>
        <w:t xml:space="preserve">Assumptions:</w:t>
      </w:r>
      <w:r>
        <w:t xml:space="preserve"> </w:t>
      </w:r>
      <w:r>
        <w:t xml:space="preserve">Key assumptions include product weight for transport calculations, last-mile delivery distance, and the simplified approach to end-of-life credits.</w:t>
      </w:r>
    </w:p>
    <w:p>
      <w:pPr>
        <w:numPr>
          <w:ilvl w:val="0"/>
          <w:numId w:val="1014"/>
        </w:numPr>
        <w:pStyle w:val="Compact"/>
      </w:pPr>
      <w:r>
        <w:rPr>
          <w:bCs/>
          <w:b/>
        </w:rPr>
        <w:t xml:space="preserve">LSR Standard:</w:t>
      </w:r>
      <w:r>
        <w:t xml:space="preserve"> </w:t>
      </w:r>
      <w:r>
        <w:t xml:space="preserve">While the 2026 LSR Standard is acknowledged, specific detailed calculations for complex land-use change or biogenic carbon removals were beyond the scope of the provided parameters and current available guidance (Q2 2026 guidance is forthcoming).</w:t>
      </w:r>
    </w:p>
    <w:bookmarkEnd w:id="41"/>
    <w:bookmarkStart w:id="42" w:name="recommendations-for-emission-reduction"/>
    <w:p>
      <w:pPr>
        <w:pStyle w:val="Heading3"/>
      </w:pPr>
      <w:r>
        <w:t xml:space="preserve">6.3. Recommendations for Emission Reduction</w:t>
      </w:r>
    </w:p>
    <w:p>
      <w:pPr>
        <w:pStyle w:val="FirstParagraph"/>
      </w:pPr>
      <w:r>
        <w:t xml:space="preserve">Based on the identified hotspots, yomjlhtvvi should consider the following strategies to reduce the carbon footprint of umtfiughtx:</w:t>
      </w:r>
    </w:p>
    <w:p>
      <w:pPr>
        <w:numPr>
          <w:ilvl w:val="0"/>
          <w:numId w:val="1015"/>
        </w:numPr>
        <w:pStyle w:val="Compact"/>
      </w:pPr>
      <w:r>
        <w:rPr>
          <w:bCs/>
          <w:b/>
        </w:rPr>
        <w:t xml:space="preserve">Optimize Use Phase:</w:t>
      </w:r>
      <w:r>
        <w:t xml:space="preserve"> </w:t>
      </w:r>
      <w:r>
        <w:t xml:space="preserve">Invest in energy-efficient design to reduce the product\'s annual energy consumption. Explore partnerships with renewable energy providers for consumers in key markets, especially in Europe.</w:t>
      </w:r>
    </w:p>
    <w:p>
      <w:pPr>
        <w:numPr>
          <w:ilvl w:val="0"/>
          <w:numId w:val="1015"/>
        </w:numPr>
        <w:pStyle w:val="Compact"/>
      </w:pPr>
      <w:r>
        <w:rPr>
          <w:bCs/>
          <w:b/>
        </w:rPr>
        <w:t xml:space="preserve">Material Innovations:</w:t>
      </w:r>
      <w:r>
        <w:t xml:space="preserve"> </w:t>
      </w:r>
      <w:r>
        <w:t xml:space="preserve">Research and incorporate lower-carbon alternatives for high-impact materials (e.g., aluminum, plastics, electronics). Increase recycled content in components.</w:t>
      </w:r>
    </w:p>
    <w:p>
      <w:pPr>
        <w:numPr>
          <w:ilvl w:val="0"/>
          <w:numId w:val="1015"/>
        </w:numPr>
        <w:pStyle w:val="Compact"/>
      </w:pPr>
      <w:r>
        <w:rPr>
          <w:bCs/>
          <w:b/>
        </w:rPr>
        <w:t xml:space="preserve">Supply Chain Engagement:</w:t>
      </w:r>
      <w:r>
        <w:t xml:space="preserve"> </w:t>
      </w:r>
      <w:r>
        <w:t xml:space="preserve">Collaborate with material suppliers to encourage the adoption of renewable energy in their manufacturing processes.</w:t>
      </w:r>
    </w:p>
    <w:p>
      <w:pPr>
        <w:numPr>
          <w:ilvl w:val="0"/>
          <w:numId w:val="1015"/>
        </w:numPr>
        <w:pStyle w:val="Compact"/>
      </w:pPr>
      <w:r>
        <w:rPr>
          <w:bCs/>
          <w:b/>
        </w:rPr>
        <w:t xml:space="preserve">Enhance Circularity:</w:t>
      </w:r>
      <w:r>
        <w:t xml:space="preserve"> </w:t>
      </w:r>
      <w:r>
        <w:t xml:space="preserve">Leverage the existing circular/take-back programs to maximize recycling rates and explore options for component reuse or remanufacturing to further reduce end-of-life impacts and potentially generate avoided emissions credits.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umtfiughtx</dc:title>
  <dc:creator/>
  <dc:description>Detailed Product Carbon Footprint (PCF) analysis report for umtfiughtx by Senior Sustainability Consultant wjpitfmwxy, adhering to GHG Protocol standards including 2026 updates for Scope 3 and LSR.</dc:description>
  <dc:language>en</dc:language>
  <cp:keywords/>
  <dcterms:created xsi:type="dcterms:W3CDTF">2026-05-30T18:07:53Z</dcterms:created>
  <dcterms:modified xsi:type="dcterms:W3CDTF">2026-05-30T18:07:53Z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