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umlmzssldz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umlmzssldz</w:t>
      </w:r>
    </w:p>
    <w:p>
      <w:pPr>
        <w:pStyle w:val="BodyText"/>
      </w:pPr>
      <w:r>
        <w:rPr>
          <w:bCs/>
          <w:b/>
        </w:rPr>
        <w:t xml:space="preserve">Company Name:</w:t>
      </w:r>
      <w:r>
        <w:t xml:space="preserve"> </w:t>
      </w:r>
      <w:r>
        <w:t xml:space="preserve">mfgsxzfxim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fnmkvqfidk</w:t>
      </w:r>
    </w:p>
    <w:p>
      <w:pPr>
        <w:pStyle w:val="BodyText"/>
      </w:pPr>
      <w:r>
        <w:t xml:space="preserve">This report is generated based on available data and industry standards, providing a high-level assessment of the product\'s carbon footprint.</w:t>
      </w:r>
    </w:p>
    <w:bookmarkEnd w:id="20"/>
    <w:p>
      <w:pPr>
        <w:pStyle w:val="BodyText"/>
      </w:pPr>
      <w:r>
        <w:t xml:space="preserve">Product Carbon Footprint Report for umlmzssldz | Generated Date: May 28, 2026</w:t>
      </w:r>
    </w:p>
    <w:bookmarkStart w:id="21" w:name="executive-summary"/>
    <w:p>
      <w:pPr>
        <w:pStyle w:val="Heading1"/>
      </w:pPr>
      <w:r>
        <w:t xml:space="preserve">Executive Summary</w:t>
      </w:r>
    </w:p>
    <w:p>
      <w:pPr>
        <w:pStyle w:val="FirstParagraph"/>
      </w:pPr>
      <w:r>
        <w:t xml:space="preserve">This report presents a high-detail Product Carbon Footprint (PCF) analysis for \'umlmzssldz\' manufactured by mfgsxzfxim, conducted by fnmkvqfidk, Senior Sustainability Consultant. The analysis strictly adheres to the Greenhouse Gas (GHG) Protocol, including the 2026 Land Sector and Removals (LSR) Standard update and the 95% Scope 3 coverage requirement. The assessment covers the product\'s lifecycle from material acquisition (factory-gate system boundary) through production, transportation, use phase, and end-of-life, providing a comprehensive overview of its environmental impact in terms of CO2e emissions.</w:t>
      </w:r>
    </w:p>
    <w:p>
      <w:pPr>
        <w:pStyle w:val="BodyText"/>
      </w:pPr>
      <w:r>
        <w:t xml:space="preserve">Key findings highlight material sourcing and the use phase as significant contributors to the overall footprint. Opportunities for reduction through renewable energy adoption, optimized logistics, and enhanced circularity are identified.</w:t>
      </w:r>
    </w:p>
    <w:p>
      <w:r>
        <w:pict>
          <v:rect style="width:0;height:1.5pt" o:hralign="center" o:hrstd="t" o:hr="t"/>
        </w:pict>
      </w:r>
    </w:p>
    <w:bookmarkEnd w:id="21"/>
    <w:bookmarkStart w:id="24" w:name="methodology-and-scope-definition"/>
    <w:p>
      <w:pPr>
        <w:pStyle w:val="Heading1"/>
      </w:pPr>
      <w:r>
        <w:t xml:space="preserve">1. Methodology and Scope Definition</w:t>
      </w:r>
    </w:p>
    <w:p>
      <w:pPr>
        <w:pStyle w:val="FirstParagraph"/>
      </w:pPr>
      <w:r>
        <w:t xml:space="preserve">The Product Carbon Footprint (PCF) analysis for \'umlmzssldz\' follows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step-1"/>
    <w:p>
      <w:pPr>
        <w:pStyle w:val="Heading2"/>
      </w:pPr>
      <w:r>
        <w:t xml:space="preserve">1.1. Scope Definition (Step 1)</w:t>
      </w:r>
    </w:p>
    <w:p>
      <w:pPr>
        <w:numPr>
          <w:ilvl w:val="0"/>
          <w:numId w:val="1002"/>
        </w:numPr>
        <w:pStyle w:val="Compact"/>
      </w:pPr>
      <w:r>
        <w:rPr>
          <w:bCs/>
          <w:b/>
        </w:rPr>
        <w:t xml:space="preserve">Functional Unit:</w:t>
      </w:r>
      <w:r>
        <w:t xml:space="preserve"> </w:t>
      </w:r>
      <w:r>
        <w:t xml:space="preserve">1.0 unit of umlmzssldz.</w:t>
      </w:r>
    </w:p>
    <w:p>
      <w:pPr>
        <w:numPr>
          <w:ilvl w:val="0"/>
          <w:numId w:val="1002"/>
        </w:numPr>
        <w:pStyle w:val="Compact"/>
      </w:pPr>
      <w:r>
        <w:rPr>
          <w:bCs/>
          <w:b/>
        </w:rPr>
        <w:t xml:space="preserve">System Boundary:</w:t>
      </w:r>
      <w:r>
        <w:t xml:space="preserve"> </w:t>
      </w:r>
      <w:r>
        <w:t xml:space="preserve">Factory-gate. This PCF covers all upstream activities (raw material extraction and processing), manufacturing at mfgsxzfxim\'s facilities, inbound and outbound logistics up to the point of sale, product use, and end-of-life.</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 This report categorizes emissions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Allocation:</w:t>
      </w:r>
      <w:r>
        <w:t xml:space="preserve"> </w:t>
      </w:r>
      <w:r>
        <w:t xml:space="preserve">Where relevant, mass-based allocation is applied.</w:t>
      </w:r>
    </w:p>
    <w:bookmarkEnd w:id="22"/>
    <w:bookmarkStart w:id="23" w:name="ghg-protocol-2026-updates-compliance"/>
    <w:p>
      <w:pPr>
        <w:pStyle w:val="Heading2"/>
      </w:pPr>
      <w:r>
        <w:t xml:space="preserve">1.2. GHG Protocol 2026 Updates Compliance</w:t>
      </w:r>
    </w:p>
    <w:p>
      <w:pPr>
        <w:numPr>
          <w:ilvl w:val="0"/>
          <w:numId w:val="1004"/>
        </w:numPr>
        <w:pStyle w:val="Compact"/>
      </w:pPr>
      <w:r>
        <w:rPr>
          <w:bCs/>
          <w:b/>
        </w:rPr>
        <w:t xml:space="preserve">2026 LSR Update:</w:t>
      </w:r>
      <w:r>
        <w:t xml:space="preserve"> </w:t>
      </w:r>
      <w:r>
        <w:t xml:space="preserve">The Land Sector and Removals (LSR) Standard, effective January 1, 2027, is acknowledged. While specific land-use change or biogenic carbon removal data for umlmzssldz\'s value chain were not provided for direct quantification, this report adheres to the principles of comprehensive land-sector accounting. Future iterations will integrate specific LSR data if available. The LSR Standard provides requirements for companies to quantify, report, and track land emissions and CO₂ removals.</w:t>
      </w:r>
    </w:p>
    <w:p>
      <w:pPr>
        <w:numPr>
          <w:ilvl w:val="0"/>
          <w:numId w:val="1004"/>
        </w:numPr>
        <w:pStyle w:val="Compact"/>
      </w:pPr>
      <w:r>
        <w:rPr>
          <w:bCs/>
          <w:b/>
        </w:rPr>
        <w:t xml:space="preserve">Scope 3 Compliance:</w:t>
      </w:r>
      <w:r>
        <w:t xml:space="preserve"> </w:t>
      </w:r>
      <w:r>
        <w:t xml:space="preserve">This analysis aims for at least 95% coverage for Scope 3 reporting, as mandated by 2026 requirements, by comprehensively assessing all relevant upstream and downstream activities based on available data. This includes a detailed breakdown of purchased goods and services, transportation, the use phase of sold products, and end-of-life treatment of sold products.</w:t>
      </w:r>
    </w:p>
    <w:p>
      <w:r>
        <w:pict>
          <v:rect style="width:0;height:1.5pt" o:hralign="center" o:hrstd="t" o:hr="t"/>
        </w:pict>
      </w:r>
    </w:p>
    <w:bookmarkEnd w:id="23"/>
    <w:bookmarkEnd w:id="24"/>
    <w:bookmarkStart w:id="31" w:name="X165b47bb5250a55c5bdeab8c531813c156fa397"/>
    <w:p>
      <w:pPr>
        <w:pStyle w:val="Heading1"/>
      </w:pPr>
      <w:r>
        <w:t xml:space="preserve">2. Lifecycle Mapping and Data Collection (Steps 2 &amp; 3)</w:t>
      </w:r>
    </w:p>
    <w:p>
      <w:pPr>
        <w:pStyle w:val="FirstParagraph"/>
      </w:pPr>
      <w:r>
        <w:t xml:space="preserve">This section details the lifecycle stages and the data collected for each to establish the Life Cycle Inventory (LCI).</w:t>
      </w:r>
    </w:p>
    <w:bookmarkStart w:id="26" w:name="Xa124a95b981c370289279a4b723120ad8e79cc2"/>
    <w:p>
      <w:pPr>
        <w:pStyle w:val="Heading2"/>
      </w:pPr>
      <w:r>
        <w:t xml:space="preserve">2.1. Materials Acquisition &amp; Pre-processing (Scope 3 - Upstream)</w:t>
      </w:r>
    </w:p>
    <w:p>
      <w:pPr>
        <w:pStyle w:val="FirstParagraph"/>
      </w:pPr>
      <w:r>
        <w:t xml:space="preserve">The material impact is calculated using the provided Detailed Bill of Materials (BOM: tmkfzmmr). This BOM offers high-accuracy material impact calculation by providing specific emission factors and total carbon values for each component, avoiding default estimates.</w:t>
      </w:r>
    </w:p>
    <w:bookmarkStart w:id="25" w:name="X60dc457535e7a263d57b1952250517430303683"/>
    <w:p>
      <w:pPr>
        <w:pStyle w:val="Heading3"/>
      </w:pPr>
      <w:r>
        <w:t xml:space="preserve">Detailed Bill of Materials (BOM) for umlmzssldz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bl>
    <w:p>
      <w:pPr>
        <w:pStyle w:val="BodyText"/>
      </w:pPr>
      <w:r>
        <w:t xml:space="preserve">Based on the BOM, the total mass of materials for one unit of umlmzssldz is 0.7 kg (0.5 kg + 0.2 kg for Aluminum and Plastic). The total carbon from materials (as provided in the BOM) is 2.35 kgCO2e.</w:t>
      </w:r>
    </w:p>
    <w:bookmarkEnd w:id="25"/>
    <w:bookmarkEnd w:id="26"/>
    <w:bookmarkStart w:id="27" w:name="manufacturingproduction-scope-1-2"/>
    <w:p>
      <w:pPr>
        <w:pStyle w:val="Heading2"/>
      </w:pPr>
      <w:r>
        <w:t xml:space="preserve">2.2. Manufacturing/Production (Scope 1 &amp; 2)</w:t>
      </w:r>
    </w:p>
    <w:p>
      <w:pPr>
        <w:pStyle w:val="FirstParagraph"/>
      </w:pPr>
      <w:r>
        <w:t xml:space="preserve">The production phase considers energy consumption at mfgsxzfxim\'s facilities in China.</w:t>
      </w:r>
    </w:p>
    <w:p>
      <w:pPr>
        <w:numPr>
          <w:ilvl w:val="0"/>
          <w:numId w:val="1005"/>
        </w:numPr>
        <w:pStyle w:val="Compact"/>
      </w:pPr>
      <w:r>
        <w:rPr>
          <w:bCs/>
          <w:b/>
        </w:rPr>
        <w:t xml:space="preserve">Energy Intensity (kWh/unit):</w:t>
      </w:r>
      <w:r>
        <w:t xml:space="preserve"> </w:t>
      </w:r>
      <w:r>
        <w:t xml:space="preserve">mqisyoofnl (e.g., 10 kWh/unit)</w:t>
      </w:r>
    </w:p>
    <w:p>
      <w:pPr>
        <w:numPr>
          <w:ilvl w:val="0"/>
          <w:numId w:val="1005"/>
        </w:numPr>
        <w:pStyle w:val="Compact"/>
      </w:pPr>
      <w:r>
        <w:rPr>
          <w:bCs/>
          <w:b/>
        </w:rPr>
        <w:t xml:space="preserve">Renewable Energy Usage:</w:t>
      </w:r>
      <w:r>
        <w:t xml:space="preserve"> </w:t>
      </w:r>
      <w:r>
        <w:t xml:space="preserve">srqjvhenpv % (e.g., 75%)</w:t>
      </w:r>
    </w:p>
    <w:p>
      <w:pPr>
        <w:numPr>
          <w:ilvl w:val="0"/>
          <w:numId w:val="1005"/>
        </w:numPr>
        <w:pStyle w:val="Compact"/>
      </w:pPr>
      <w:r>
        <w:rPr>
          <w:bCs/>
          <w:b/>
        </w:rPr>
        <w:t xml:space="preserve">Assumed Grid Emission Factor (China):</w:t>
      </w:r>
      <w:r>
        <w:t xml:space="preserve"> </w:t>
      </w:r>
      <w:r>
        <w:t xml:space="preserve">0.6205 kgCO2e/kWh (2023 national average).</w:t>
      </w:r>
    </w:p>
    <w:bookmarkEnd w:id="27"/>
    <w:bookmarkStart w:id="28" w:name="X981923b8cb60f0edee598a5efe02199461582eb"/>
    <w:p>
      <w:pPr>
        <w:pStyle w:val="Heading2"/>
      </w:pPr>
      <w:r>
        <w:t xml:space="preserve">2.3. Transportation (Scope 3 - Upstream &amp; Downstream)</w:t>
      </w:r>
    </w:p>
    <w:p>
      <w:pPr>
        <w:pStyle w:val="FirstParagraph"/>
      </w:pPr>
      <w:r>
        <w:t xml:space="preserve">Logistics data incorporates both upstream material transport to the factory and downstream product distribution.</w:t>
      </w:r>
    </w:p>
    <w:p>
      <w:pPr>
        <w:numPr>
          <w:ilvl w:val="0"/>
          <w:numId w:val="1006"/>
        </w:numPr>
        <w:pStyle w:val="Compact"/>
      </w:pPr>
      <w:r>
        <w:rPr>
          <w:bCs/>
          <w:b/>
        </w:rPr>
        <w:t xml:space="preserve">Upstream Transport:</w:t>
      </w:r>
    </w:p>
    <w:p>
      <w:pPr>
        <w:numPr>
          <w:ilvl w:val="1"/>
          <w:numId w:val="1007"/>
        </w:numPr>
        <w:pStyle w:val="Compact"/>
      </w:pPr>
      <w:r>
        <w:rPr>
          <w:bCs/>
          <w:b/>
        </w:rPr>
        <w:t xml:space="preserve">Mode:</w:t>
      </w:r>
      <w:r>
        <w:t xml:space="preserve"> </w:t>
      </w:r>
      <w:r>
        <w:t xml:space="preserve">Select Mode (assumed as Road Freight - Heavy Goods Vehicle)</w:t>
      </w:r>
    </w:p>
    <w:p>
      <w:pPr>
        <w:numPr>
          <w:ilvl w:val="1"/>
          <w:numId w:val="1007"/>
        </w:numPr>
        <w:pStyle w:val="Compact"/>
      </w:pPr>
      <w:r>
        <w:rPr>
          <w:bCs/>
          <w:b/>
        </w:rPr>
        <w:t xml:space="preserve">Distance:</w:t>
      </w:r>
      <w:r>
        <w:t xml:space="preserve"> </w:t>
      </w:r>
      <w:r>
        <w:t xml:space="preserve">ditwptvkxs (e.g., 1500 km)</w:t>
      </w:r>
    </w:p>
    <w:p>
      <w:pPr>
        <w:numPr>
          <w:ilvl w:val="1"/>
          <w:numId w:val="1007"/>
        </w:numPr>
        <w:pStyle w:val="Compact"/>
      </w:pPr>
      <w:r>
        <w:rPr>
          <w:bCs/>
          <w:b/>
        </w:rPr>
        <w:t xml:space="preserve">Assumed Emission Factor (Road Freight):</w:t>
      </w:r>
      <w:r>
        <w:t xml:space="preserve"> </w:t>
      </w:r>
      <w:r>
        <w:t xml:space="preserve">0.09 kgCO2e/tkm.</w:t>
      </w:r>
    </w:p>
    <w:p>
      <w:pPr>
        <w:numPr>
          <w:ilvl w:val="1"/>
          <w:numId w:val="1007"/>
        </w:numPr>
        <w:pStyle w:val="Compact"/>
      </w:pPr>
      <w:r>
        <w:rPr>
          <w:bCs/>
          <w:b/>
        </w:rPr>
        <w:t xml:space="preserve">Product Mass for Transport:</w:t>
      </w:r>
      <w:r>
        <w:t xml:space="preserve"> </w:t>
      </w:r>
      <w:r>
        <w:t xml:space="preserve">0.7 kg (based on BOM).</w:t>
      </w:r>
    </w:p>
    <w:p>
      <w:pPr>
        <w:numPr>
          <w:ilvl w:val="0"/>
          <w:numId w:val="1006"/>
        </w:numPr>
        <w:pStyle w:val="Compact"/>
      </w:pPr>
      <w:r>
        <w:rPr>
          <w:bCs/>
          <w:b/>
        </w:rPr>
        <w:t xml:space="preserve">Last-Mile Delivery:</w:t>
      </w:r>
    </w:p>
    <w:p>
      <w:pPr>
        <w:numPr>
          <w:ilvl w:val="1"/>
          <w:numId w:val="1008"/>
        </w:numPr>
        <w:pStyle w:val="Compact"/>
      </w:pPr>
      <w:r>
        <w:rPr>
          <w:bCs/>
          <w:b/>
        </w:rPr>
        <w:t xml:space="preserve">Channel:</w:t>
      </w:r>
      <w:r>
        <w:t xml:space="preserve"> </w:t>
      </w:r>
      <w:r>
        <w:t xml:space="preserve">Delivery Type (assumed as Van Delivery)</w:t>
      </w:r>
    </w:p>
    <w:p>
      <w:pPr>
        <w:numPr>
          <w:ilvl w:val="1"/>
          <w:numId w:val="1008"/>
        </w:numPr>
        <w:pStyle w:val="Compact"/>
      </w:pPr>
      <w:r>
        <w:rPr>
          <w:bCs/>
          <w:b/>
        </w:rPr>
        <w:t xml:space="preserve">Assumed Emission Factor (Last-Mile Van):</w:t>
      </w:r>
      <w:r>
        <w:t xml:space="preserve"> </w:t>
      </w:r>
      <w:r>
        <w:t xml:space="preserve">0.23 kgCO2e/package. (assuming one functional unit = one package)</w:t>
      </w:r>
    </w:p>
    <w:bookmarkEnd w:id="28"/>
    <w:bookmarkStart w:id="29" w:name="use-phase-scope-3---downstream"/>
    <w:p>
      <w:pPr>
        <w:pStyle w:val="Heading2"/>
      </w:pPr>
      <w:r>
        <w:t xml:space="preserve">2.4. Use Phase (Scope 3 - Downstream)</w:t>
      </w:r>
    </w:p>
    <w:p>
      <w:pPr>
        <w:pStyle w:val="FirstParagraph"/>
      </w:pPr>
      <w:r>
        <w:t xml:space="preserve">The use phase calculation reflects the product\'s durability and energy consumption by the end-user, with a supply chain focus on Europe.</w:t>
      </w:r>
    </w:p>
    <w:p>
      <w:pPr>
        <w:numPr>
          <w:ilvl w:val="0"/>
          <w:numId w:val="1009"/>
        </w:numPr>
        <w:pStyle w:val="Compact"/>
      </w:pPr>
      <w:r>
        <w:rPr>
          <w:bCs/>
          <w:b/>
        </w:rPr>
        <w:t xml:space="preserve">Product Lifespan:</w:t>
      </w:r>
      <w:r>
        <w:t xml:space="preserve"> </w:t>
      </w:r>
      <w:r>
        <w:t xml:space="preserve">uetvdxxseg (e.g., 5 years)</w:t>
      </w:r>
    </w:p>
    <w:p>
      <w:pPr>
        <w:numPr>
          <w:ilvl w:val="0"/>
          <w:numId w:val="1009"/>
        </w:numPr>
        <w:pStyle w:val="Compact"/>
      </w:pPr>
      <w:r>
        <w:rPr>
          <w:bCs/>
          <w:b/>
        </w:rPr>
        <w:t xml:space="preserve">Energy Consumption in Use:</w:t>
      </w:r>
      <w:r>
        <w:t xml:space="preserve"> </w:t>
      </w:r>
      <w:r>
        <w:t xml:space="preserve">vqwrqomkmt (e.g., 20 kWh/year)</w:t>
      </w:r>
    </w:p>
    <w:p>
      <w:pPr>
        <w:numPr>
          <w:ilvl w:val="0"/>
          <w:numId w:val="1009"/>
        </w:numPr>
        <w:pStyle w:val="Compact"/>
      </w:pPr>
      <w:r>
        <w:rPr>
          <w:bCs/>
          <w:b/>
        </w:rPr>
        <w:t xml:space="preserve">Assumed Grid Emission Factor (Europe):</w:t>
      </w:r>
      <w:r>
        <w:t xml:space="preserve"> </w:t>
      </w:r>
      <w:r>
        <w:t xml:space="preserve">0.181 kgCO2e/kWh (2024 European average).</w:t>
      </w:r>
    </w:p>
    <w:bookmarkEnd w:id="29"/>
    <w:bookmarkStart w:id="30" w:name="end-of-life-eol-scope-3---downstream"/>
    <w:p>
      <w:pPr>
        <w:pStyle w:val="Heading2"/>
      </w:pPr>
      <w:r>
        <w:t xml:space="preserve">2.5. End-of-Life (EoL) (Scope 3 - Downstream)</w:t>
      </w:r>
    </w:p>
    <w:p>
      <w:pPr>
        <w:pStyle w:val="FirstParagraph"/>
      </w:pPr>
      <w:r>
        <w:t xml:space="preserve">EoL scenarios incorporate circular economy impacts, with recyclability and take-back programs influencing the footprint.</w:t>
      </w:r>
    </w:p>
    <w:p>
      <w:pPr>
        <w:numPr>
          <w:ilvl w:val="0"/>
          <w:numId w:val="1010"/>
        </w:numPr>
        <w:pStyle w:val="Compact"/>
      </w:pPr>
      <w:r>
        <w:rPr>
          <w:bCs/>
          <w:b/>
        </w:rPr>
        <w:t xml:space="preserve">Recyclability Percentage:</w:t>
      </w:r>
      <w:r>
        <w:t xml:space="preserve"> </w:t>
      </w:r>
      <w:r>
        <w:t xml:space="preserve">zvutonmlxr % (e.g., 70%)</w:t>
      </w:r>
    </w:p>
    <w:p>
      <w:pPr>
        <w:numPr>
          <w:ilvl w:val="0"/>
          <w:numId w:val="1010"/>
        </w:numPr>
        <w:pStyle w:val="Compact"/>
      </w:pPr>
      <w:r>
        <w:rPr>
          <w:bCs/>
          <w:b/>
        </w:rPr>
        <w:t xml:space="preserve">Circular/Take-back Programs:</w:t>
      </w:r>
      <w:r>
        <w:t xml:space="preserve"> </w:t>
      </w:r>
      <w:r>
        <w:t xml:space="preserve">oyppkvzqwd (e.g., "Product take-back program in place")</w:t>
      </w:r>
    </w:p>
    <w:p>
      <w:pPr>
        <w:numPr>
          <w:ilvl w:val="0"/>
          <w:numId w:val="1010"/>
        </w:numPr>
        <w:pStyle w:val="Compact"/>
      </w:pPr>
      <w:r>
        <w:rPr>
          <w:bCs/>
          <w:b/>
        </w:rPr>
        <w:t xml:space="preserve">Assumed EoL Emission Factors/Credits:</w:t>
      </w:r>
    </w:p>
    <w:p>
      <w:pPr>
        <w:numPr>
          <w:ilvl w:val="1"/>
          <w:numId w:val="1011"/>
        </w:numPr>
        <w:pStyle w:val="Compact"/>
      </w:pPr>
      <w:r>
        <w:rPr>
          <w:bCs/>
          <w:b/>
        </w:rPr>
        <w:t xml:space="preserve">Plastics (Non-recycled portion):</w:t>
      </w:r>
      <w:r>
        <w:t xml:space="preserve"> </w:t>
      </w:r>
      <w:r>
        <w:t xml:space="preserve">Incineration EF of 2.7625 kgCO2e/kg.</w:t>
      </w:r>
    </w:p>
    <w:p>
      <w:pPr>
        <w:numPr>
          <w:ilvl w:val="1"/>
          <w:numId w:val="1011"/>
        </w:numPr>
        <w:pStyle w:val="Compact"/>
      </w:pPr>
      <w:r>
        <w:rPr>
          <w:bCs/>
          <w:b/>
        </w:rPr>
        <w:t xml:space="preserve">Plastics (Recycled portion):</w:t>
      </w:r>
      <w:r>
        <w:t xml:space="preserve"> </w:t>
      </w:r>
      <w:r>
        <w:t xml:space="preserve">Credit of -2.0 kgCO2e/kg (representing avoided virgin plastic production).</w:t>
      </w:r>
    </w:p>
    <w:p>
      <w:pPr>
        <w:numPr>
          <w:ilvl w:val="1"/>
          <w:numId w:val="1011"/>
        </w:numPr>
        <w:pStyle w:val="Compact"/>
      </w:pPr>
      <w:r>
        <w:rPr>
          <w:bCs/>
          <w:b/>
        </w:rPr>
        <w:t xml:space="preserve">Metals (Non-recycled portion):</w:t>
      </w:r>
      <w:r>
        <w:t xml:space="preserve"> </w:t>
      </w:r>
      <w:r>
        <w:t xml:space="preserve">Generic landfill burden of 0.1 kgCO2e/kg.</w:t>
      </w:r>
    </w:p>
    <w:p>
      <w:pPr>
        <w:numPr>
          <w:ilvl w:val="1"/>
          <w:numId w:val="1011"/>
        </w:numPr>
        <w:pStyle w:val="Compact"/>
      </w:pPr>
      <w:r>
        <w:rPr>
          <w:bCs/>
          <w:b/>
        </w:rPr>
        <w:t xml:space="preserve">Metals (Recycled portion):</w:t>
      </w:r>
      <w:r>
        <w:t xml:space="preserve"> </w:t>
      </w:r>
      <w:r>
        <w:t xml:space="preserve">Credit of -3.0 kgCO2e/kg (average avoided virgin metal production).</w:t>
      </w:r>
    </w:p>
    <w:p>
      <w:r>
        <w:pict>
          <v:rect style="width:0;height:1.5pt" o:hralign="center" o:hrstd="t" o:hr="t"/>
        </w:pict>
      </w:r>
    </w:p>
    <w:bookmarkEnd w:id="30"/>
    <w:bookmarkEnd w:id="31"/>
    <w:bookmarkStart w:id="33" w:name="emissions-calculation-step-4"/>
    <w:p>
      <w:pPr>
        <w:pStyle w:val="Heading1"/>
      </w:pPr>
      <w:r>
        <w:t xml:space="preserve">3. Emissions Calculation (Step 4)</w:t>
      </w:r>
    </w:p>
    <w:p>
      <w:pPr>
        <w:pStyle w:val="FirstParagraph"/>
      </w:pPr>
      <w:r>
        <w:t xml:space="preserve">All emissions are calculated as Activity Data multiplied by the relevant Emission Factor and categorized according to the GHG Protocol.</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floatval($parts),</w:t>
      </w:r>
      <w:r>
        <w:t xml:space="preserve"> </w:t>
      </w:r>
      <w:r>
        <w:t xml:space="preserve">\'Unit\' =&gt; $parts,</w:t>
      </w:r>
      <w:r>
        <w:t xml:space="preserve"> </w:t>
      </w:r>
      <w:r>
        <w:t xml:space="preserve">\'Emission Factor\' =&gt; floatval($parts),</w:t>
      </w:r>
      <w:r>
        <w:t xml:space="preserve"> </w:t>
      </w:r>
      <w:r>
        <w:t xml:space="preserve">\'Total Carbon\' =&gt; floatval($parts)</w:t>
      </w:r>
      <w:r>
        <w:t xml:space="preserve"> </w:t>
      </w:r>
      <w:r>
        <w:t xml:space="preserve">];</w:t>
      </w:r>
      <w:r>
        <w:t xml:space="preserve"> </w:t>
      </w:r>
      <w:r>
        <w:t xml:space="preserve">$parsed_bom[] = $item_data;</w:t>
      </w:r>
      <w:r>
        <w:t xml:space="preserve"> </w:t>
      </w:r>
      <w:r>
        <w:t xml:space="preserve">$total_material_carbon += $item_data[\'Total Carbon\'];</w:t>
      </w:r>
      <w:r>
        <w:t xml:space="preserve"> </w:t>
      </w:r>
      <w:r>
        <w:t xml:space="preserve">// Sum mass for transport and EoL</w:t>
      </w:r>
      <w:r>
        <w:t xml:space="preserve"> </w:t>
      </w:r>
      <w:r>
        <w:t xml:space="preserve">if ($item_data[\'Unit\'] == \'kg\') {</w:t>
      </w:r>
      <w:r>
        <w:t xml:space="preserve"> </w:t>
      </w:r>
      <w:r>
        <w:t xml:space="preserve">$total_material_mass += $item_data[\'Qty\'];</w:t>
      </w:r>
      <w:r>
        <w:t xml:space="preserve"> </w:t>
      </w:r>
      <w:r>
        <w:t xml:space="preserve">if ($item_data[\'Category\'] == \'Polymer\') {</w:t>
      </w:r>
      <w:r>
        <w:t xml:space="preserve"> </w:t>
      </w:r>
      <w:r>
        <w:t xml:space="preserve">$total_plastic_mass += $item_data[\'Qty\'];</w:t>
      </w:r>
      <w:r>
        <w:t xml:space="preserve"> </w:t>
      </w:r>
      <w:r>
        <w:t xml:space="preserve">} elseif ($item_data[\'Category\'] == \'Metal\') {</w:t>
      </w:r>
      <w:r>
        <w:t xml:space="preserve"> </w:t>
      </w:r>
      <w:r>
        <w:t xml:space="preserve">$total_metal_mass += $item_data[\'Qty\'];</w:t>
      </w:r>
      <w:r>
        <w:t xml:space="preserve"> </w:t>
      </w:r>
      <w:r>
        <w:t xml:space="preserve">}</w:t>
      </w:r>
      <w:r>
        <w:t xml:space="preserve"> </w:t>
      </w:r>
      <w:r>
        <w:t xml:space="preserve">}</w:t>
      </w:r>
      <w:r>
        <w:t xml:space="preserve"> </w:t>
      </w:r>
      <w:r>
        <w:t xml:space="preserve">}</w:t>
      </w:r>
      <w:r>
        <w:t xml:space="preserve"> </w:t>
      </w:r>
      <w:r>
        <w:t xml:space="preserve">}</w:t>
      </w:r>
      <w:r>
        <w:t xml:space="preserve"> </w:t>
      </w:r>
      <w:r>
        <w:t xml:space="preserve">// Calculations</w:t>
      </w:r>
      <w:r>
        <w:t xml:space="preserve"> </w:t>
      </w:r>
      <w:r>
        <w:t xml:space="preserve">// 3.1. Materials Acquisition &amp; Pre-processing (Scope 3, Category 1 - Purchased goods and services)</w:t>
      </w:r>
      <w:r>
        <w:t xml:space="preserve"> </w:t>
      </w:r>
      <w:r>
        <w:t xml:space="preserve">$emissions_materials = $total_material_carbon;</w:t>
      </w:r>
      <w:r>
        <w:t xml:space="preserve"> </w:t>
      </w:r>
      <w:r>
        <w:t xml:space="preserve">// 3.2. Manufacturing/Production (Scope 2 - Purchased electricity, Scope 1 - Direct emissions assumed negligible)</w:t>
      </w:r>
      <w:r>
        <w:t xml:space="preserve"> </w:t>
      </w:r>
      <w:r>
        <w:t xml:space="preserve">$renewable_usage_fraction = $renewable_energy_usage_param / 100;</w:t>
      </w:r>
      <w:r>
        <w:t xml:space="preserve"> </w:t>
      </w:r>
      <w:r>
        <w:t xml:space="preserve">$non_renewable_energy_kwh = $energy_intensity_param * (1 - $renewable_usage_fraction);</w:t>
      </w:r>
      <w:r>
        <w:t xml:space="preserve"> </w:t>
      </w:r>
      <w:r>
        <w:t xml:space="preserve">$emissions_production_scope2 = $non_renewable_energy_kwh * $ef_grid_china;</w:t>
      </w:r>
      <w:r>
        <w:t xml:space="preserve"> </w:t>
      </w:r>
      <w:r>
        <w:t xml:space="preserve">$emissions_production_scope1 = 0; // Assumed negligible direct emissions at factory</w:t>
      </w:r>
      <w:r>
        <w:t xml:space="preserve"> </w:t>
      </w:r>
      <w:r>
        <w:t xml:space="preserve">$emissions_production = $emissions_production_scope1 + $emissions_production_scope2;</w:t>
      </w:r>
      <w:r>
        <w:t xml:space="preserve"> </w:t>
      </w:r>
      <w:r>
        <w:t xml:space="preserve">// 3.3. Transportation (Scope 3, Category 4 - Upstream, Category 9 - Downstream)</w:t>
      </w:r>
      <w:r>
        <w:t xml:space="preserve"> </w:t>
      </w:r>
      <w:r>
        <w:t xml:space="preserve">// Upstream Transport (materials to factory)</w:t>
      </w:r>
      <w:r>
        <w:t xml:space="preserve"> </w:t>
      </w:r>
      <w:r>
        <w:t xml:space="preserve">$emissions_upstream_transport = ($total_material_mass / 1000) * $transport_distance_param * $ef_road_freight; // Convert kg to tonnes for tkm</w:t>
      </w:r>
      <w:r>
        <w:t xml:space="preserve"> </w:t>
      </w:r>
      <w:r>
        <w:t xml:space="preserve">// Downstream Transport (product to customer - last mile)</w:t>
      </w:r>
      <w:r>
        <w:t xml:space="preserve"> </w:t>
      </w:r>
      <w:r>
        <w:t xml:space="preserve">$emissions_last_mile = $ef_last_mile_delivery; // Assuming 1 functional unit = 1 package</w:t>
      </w:r>
      <w:r>
        <w:t xml:space="preserve"> </w:t>
      </w:r>
      <w:r>
        <w:t xml:space="preserve">$emissions_transport = $emissions_upstream_transport + $emissions_last_mile;</w:t>
      </w:r>
      <w:r>
        <w:t xml:space="preserve"> </w:t>
      </w:r>
      <w:r>
        <w:t xml:space="preserve">// 3.4. Use Phase (Scope 3, Category 11 - Use of sold products)</w:t>
      </w:r>
      <w:r>
        <w:t xml:space="preserve"> </w:t>
      </w:r>
      <w:r>
        <w:t xml:space="preserve">$total_use_energy_kwh = $product_lifespan_param * $energy_consumption_in_use_param;</w:t>
      </w:r>
      <w:r>
        <w:t xml:space="preserve"> </w:t>
      </w:r>
      <w:r>
        <w:t xml:space="preserve">$emissions_use_phase = $total_use_energy_kwh * $ef_grid_europe;</w:t>
      </w:r>
      <w:r>
        <w:t xml:space="preserve"> </w:t>
      </w:r>
      <w:r>
        <w:t xml:space="preserve">// 3.5. End-of-Life (EoL) (Scope 3, Category 12 - End-of-life treatment of sold products)</w:t>
      </w:r>
      <w:r>
        <w:t xml:space="preserve"> </w:t>
      </w:r>
      <w:r>
        <w:t xml:space="preserve">$recyclability_fraction = $recyclability_percentage_param / 100;</w:t>
      </w:r>
      <w:r>
        <w:t xml:space="preserve"> </w:t>
      </w:r>
      <w:r>
        <w:t xml:space="preserve">$emissions_eol = 0;</w:t>
      </w:r>
      <w:r>
        <w:t xml:space="preserve"> </w:t>
      </w:r>
      <w:r>
        <w:t xml:space="preserve">// Plastics EoL</w:t>
      </w:r>
      <w:r>
        <w:t xml:space="preserve"> </w:t>
      </w:r>
      <w:r>
        <w:t xml:space="preserve">$plastic_non_recycled_mass = $total_plastic_mass * (1 - $recyclability_fraction);</w:t>
      </w:r>
      <w:r>
        <w:t xml:space="preserve"> </w:t>
      </w:r>
      <w:r>
        <w:t xml:space="preserve">$plastic_recycled_mass = $total_plastic_mass * $recyclability_fraction;</w:t>
      </w:r>
      <w:r>
        <w:t xml:space="preserve"> </w:t>
      </w:r>
      <w:r>
        <w:t xml:space="preserve">$emissions_eol += ($plastic_non_recycled_mass * $ef_plastic_incineration) + ($plastic_recycled_mass * $credit_plastic_recycled);</w:t>
      </w:r>
      <w:r>
        <w:t xml:space="preserve"> </w:t>
      </w:r>
      <w:r>
        <w:t xml:space="preserve">// Metals EoL</w:t>
      </w:r>
      <w:r>
        <w:t xml:space="preserve"> </w:t>
      </w:r>
      <w:r>
        <w:t xml:space="preserve">$metal_non_recycled_mass = $total_metal_mass * (1 - $recyclability_fraction);</w:t>
      </w:r>
      <w:r>
        <w:t xml:space="preserve"> </w:t>
      </w:r>
      <w:r>
        <w:t xml:space="preserve">$metal_recycled_mass = $total_metal_mass * $recyclability_fraction;</w:t>
      </w:r>
      <w:r>
        <w:t xml:space="preserve"> </w:t>
      </w:r>
      <w:r>
        <w:t xml:space="preserve">$emissions_eol += ($metal_non_recycled_mass * $ef_metal_landfill) + ($metal_recycled_mass * $credit_metal_recycled);</w:t>
      </w:r>
      <w:r>
        <w:t xml:space="preserve"> </w:t>
      </w:r>
      <w:r>
        <w:t xml:space="preserve">// Circular programs are mentioned as being in place, which supports higher recyclability and lower EoL impact.</w:t>
      </w:r>
      <w:r>
        <w:t xml:space="preserve"> </w:t>
      </w:r>
      <w:r>
        <w:t xml:space="preserve">// The recyclability percentage already captures some of this, so no additional numerical adjustment, but stated.</w:t>
      </w:r>
      <w:r>
        <w:t xml:space="preserve"> </w:t>
      </w:r>
      <w:r>
        <w:t xml:space="preserve">// Total PCF Calculation</w:t>
      </w:r>
      <w:r>
        <w:t xml:space="preserve"> </w:t>
      </w:r>
      <w:r>
        <w:t xml:space="preserve">$total_pcf = $emissions_materials + $emissions_production + $emissions_transport + $emissions_use_phase + $emissions_eol;</w:t>
      </w:r>
      <w:r>
        <w:t xml:space="preserve"> </w:t>
      </w:r>
      <w:r>
        <w:t xml:space="preserve">// Summary Table Data</w:t>
      </w:r>
      <w:r>
        <w:t xml:space="preserve"> </w:t>
      </w:r>
      <w:r>
        <w:t xml:space="preserve">$summary_data = [</w:t>
      </w:r>
      <w:r>
        <w:t xml:space="preserve"> </w:t>
      </w:r>
      <w:r>
        <w:t xml:space="preserve">["Materials Acquisition &amp; Pre-processing (Scope 3, Category 1)", $emissions_materials, "Upstream material production, as per BOM."],</w:t>
      </w:r>
      <w:r>
        <w:t xml:space="preserve"> </w:t>
      </w:r>
      <w:r>
        <w:t xml:space="preserve">["Manufacturing/Production (Scope 1)", $emissions_production_scope1, "Direct emissions at factory (e.g., owned machinery fuel). Assumed negligible."],</w:t>
      </w:r>
      <w:r>
        <w:t xml:space="preserve"> </w:t>
      </w:r>
      <w:r>
        <w:t xml:space="preserve">["Manufacturing/Production (Scope 2)", $emissions_production_scope2, "Purchased electricity in China, adjusted for renewable energy usage."],</w:t>
      </w:r>
      <w:r>
        <w:t xml:space="preserve"> </w:t>
      </w:r>
      <w:r>
        <w:t xml:space="preserve">["Upstream Transportation (Scope 3, Category 4)", $emissions_upstream_transport, "Transport of materials from suppliers to factory."],</w:t>
      </w:r>
      <w:r>
        <w:t xml:space="preserve"> </w:t>
      </w:r>
      <w:r>
        <w:t xml:space="preserve">["Downstream Transportation (Scope 3, Category 9) - Last Mile", $emissions_last_mile, "Final delivery of product to customer."],</w:t>
      </w:r>
      <w:r>
        <w:t xml:space="preserve"> </w:t>
      </w:r>
      <w:r>
        <w:t xml:space="preserve">["Use Phase (Scope 3, Category 11)", $emissions_use_phase, "Energy consumption during product lifespan in Europe."],</w:t>
      </w:r>
      <w:r>
        <w:t xml:space="preserve"> </w:t>
      </w:r>
      <w:r>
        <w:t xml:space="preserve">["End-of-Life Treatment (Scope 3, Category 12)", $emissions_eol, "Emissions/credits from disposal (incineration) and recycling."],</w:t>
      </w:r>
      <w:r>
        <w:t xml:space="preserve"> </w:t>
      </w:r>
      <w:r>
        <w:t xml:space="preserve">];</w:t>
      </w:r>
      <w:r>
        <w:t xml:space="preserve"> </w:t>
      </w:r>
      <w:r>
        <w:t xml:space="preserve">?&gt;</w:t>
      </w:r>
    </w:p>
    <w:bookmarkStart w:id="32" w:name="emissions-by-lifecycle-stage"/>
    <w:p>
      <w:pPr>
        <w:pStyle w:val="Heading2"/>
      </w:pPr>
      <w:r>
        <w:t xml:space="preserve">3.1. Emissions by Lifecycle Stage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 functional unit)</w:t>
            </w:r>
          </w:p>
        </w:tc>
        <w:tc>
          <w:tcPr/>
          <w:p>
            <w:pPr>
              <w:pStyle w:val="Compact"/>
              <w:jc w:val="left"/>
            </w:pPr>
            <w:r>
              <w:t xml:space="preserve">Notes</w:t>
            </w:r>
          </w:p>
        </w:tc>
      </w:tr>
      <w:tr>
        <w:tc>
          <w:tcPr/>
          <w:p>
            <w:pPr>
              <w:pStyle w:val="Compact"/>
              <w:jc w:val="left"/>
            </w:pPr>
            <w:r>
              <w:t xml:space="preserve">Materials Acquisition &amp; Pre-processing (Scope 3, Category 1)</w:t>
            </w:r>
          </w:p>
        </w:tc>
        <w:tc>
          <w:tcPr/>
          <w:p>
            <w:pPr>
              <w:pStyle w:val="Compact"/>
            </w:pPr>
          </w:p>
        </w:tc>
        <w:tc>
          <w:tcPr/>
          <w:p>
            <w:pPr>
              <w:pStyle w:val="Compact"/>
              <w:jc w:val="left"/>
            </w:pPr>
            <w:r>
              <w:t xml:space="preserve">Upstream material production, as per BOM.</w:t>
            </w:r>
          </w:p>
        </w:tc>
      </w:tr>
      <w:tr>
        <w:tc>
          <w:tcPr/>
          <w:p>
            <w:pPr>
              <w:pStyle w:val="Compact"/>
              <w:jc w:val="left"/>
            </w:pPr>
            <w:r>
              <w:t xml:space="preserve">Manufacturing/Production (Scope 1)</w:t>
            </w:r>
          </w:p>
        </w:tc>
        <w:tc>
          <w:tcPr/>
          <w:p>
            <w:pPr>
              <w:pStyle w:val="Compact"/>
            </w:pPr>
          </w:p>
        </w:tc>
        <w:tc>
          <w:tcPr/>
          <w:p>
            <w:pPr>
              <w:pStyle w:val="Compact"/>
              <w:jc w:val="left"/>
            </w:pPr>
            <w:r>
              <w:t xml:space="preserve">Direct emissions at factory (e.g., owned machinery fuel). Assumed negligible.</w:t>
            </w:r>
          </w:p>
        </w:tc>
      </w:tr>
      <w:tr>
        <w:tc>
          <w:tcPr/>
          <w:p>
            <w:pPr>
              <w:pStyle w:val="Compact"/>
              <w:jc w:val="left"/>
            </w:pPr>
            <w:r>
              <w:t xml:space="preserve">Manufacturing/Production (Scope 2)</w:t>
            </w:r>
          </w:p>
        </w:tc>
        <w:tc>
          <w:tcPr/>
          <w:p>
            <w:pPr>
              <w:pStyle w:val="Compact"/>
            </w:pPr>
          </w:p>
        </w:tc>
        <w:tc>
          <w:tcPr/>
          <w:p>
            <w:pPr>
              <w:pStyle w:val="Compact"/>
              <w:jc w:val="left"/>
            </w:pPr>
            <w:r>
              <w:t xml:space="preserve">Purchased electricity in China, adjusted for</w:t>
            </w:r>
          </w:p>
          <w:p>
            <w:pPr>
              <w:pStyle w:val="Compact"/>
              <w:jc w:val="left"/>
            </w:pPr>
            <w:r>
              <w:t xml:space="preserve">% renewable energy usage.</w:t>
            </w:r>
          </w:p>
        </w:tc>
      </w:tr>
      <w:tr>
        <w:tc>
          <w:tcPr/>
          <w:p>
            <w:pPr>
              <w:pStyle w:val="Compact"/>
              <w:jc w:val="left"/>
            </w:pPr>
            <w:r>
              <w:t xml:space="preserve">Upstream Transportation (Scope 3, Category 4)</w:t>
            </w:r>
          </w:p>
        </w:tc>
        <w:tc>
          <w:tcPr/>
          <w:p>
            <w:pPr>
              <w:pStyle w:val="Compact"/>
            </w:pPr>
          </w:p>
        </w:tc>
        <w:tc>
          <w:tcPr/>
          <w:p>
            <w:pPr>
              <w:pStyle w:val="Compact"/>
              <w:jc w:val="left"/>
            </w:pPr>
            <w:r>
              <w:t xml:space="preserve">Transport of materials from suppliers to factory (</w:t>
            </w:r>
          </w:p>
          <w:p>
            <w:pPr>
              <w:pStyle w:val="Compact"/>
              <w:jc w:val="left"/>
            </w:pPr>
            <w:r>
              <w:t xml:space="preserve">kg over</w:t>
            </w:r>
          </w:p>
          <w:p>
            <w:pPr>
              <w:pStyle w:val="Compact"/>
              <w:jc w:val="left"/>
            </w:pPr>
            <w:r>
              <w:t xml:space="preserve">km by Road Freight).</w:t>
            </w:r>
          </w:p>
        </w:tc>
      </w:tr>
      <w:tr>
        <w:tc>
          <w:tcPr/>
          <w:p>
            <w:pPr>
              <w:pStyle w:val="Compact"/>
              <w:jc w:val="left"/>
            </w:pPr>
            <w:r>
              <w:t xml:space="preserve">Downstream Transportation (Scope 3, Category 9) - Last Mile</w:t>
            </w:r>
          </w:p>
        </w:tc>
        <w:tc>
          <w:tcPr/>
          <w:p>
            <w:pPr>
              <w:pStyle w:val="Compact"/>
            </w:pPr>
          </w:p>
        </w:tc>
        <w:tc>
          <w:tcPr/>
          <w:p>
            <w:pPr>
              <w:pStyle w:val="Compact"/>
              <w:jc w:val="left"/>
            </w:pPr>
            <w:r>
              <w:t xml:space="preserve">Final delivery of product to customer (1 unit by Van Delivery).</w:t>
            </w:r>
          </w:p>
        </w:tc>
      </w:tr>
      <w:tr>
        <w:tc>
          <w:tcPr/>
          <w:p>
            <w:pPr>
              <w:pStyle w:val="Compact"/>
              <w:jc w:val="left"/>
            </w:pPr>
            <w:r>
              <w:t xml:space="preserve">Use Phase (Scope 3, Category 11)</w:t>
            </w:r>
          </w:p>
        </w:tc>
        <w:tc>
          <w:tcPr/>
          <w:p>
            <w:pPr>
              <w:pStyle w:val="Compact"/>
            </w:pPr>
          </w:p>
        </w:tc>
        <w:tc>
          <w:tcPr/>
          <w:p>
            <w:pPr>
              <w:pStyle w:val="Compact"/>
              <w:jc w:val="left"/>
            </w:pPr>
            <w:r>
              <w:t xml:space="preserve">Energy consumption during product lifespan (</w:t>
            </w:r>
          </w:p>
          <w:p>
            <w:pPr>
              <w:pStyle w:val="Compact"/>
              <w:jc w:val="left"/>
            </w:pPr>
            <w:r>
              <w:t xml:space="preserve">years at</w:t>
            </w:r>
          </w:p>
          <w:p>
            <w:pPr>
              <w:pStyle w:val="Compact"/>
              <w:jc w:val="left"/>
            </w:pPr>
            <w:r>
              <w:t xml:space="preserve">kWh/year) in Europe.</w:t>
            </w:r>
          </w:p>
        </w:tc>
      </w:tr>
      <w:tr>
        <w:tc>
          <w:tcPr/>
          <w:p>
            <w:pPr>
              <w:pStyle w:val="Compact"/>
              <w:jc w:val="left"/>
            </w:pPr>
            <w:r>
              <w:t xml:space="preserve">End-of-Life Treatment (Scope 3, Category 12)</w:t>
            </w:r>
          </w:p>
        </w:tc>
        <w:tc>
          <w:tcPr/>
          <w:p>
            <w:pPr>
              <w:pStyle w:val="Compact"/>
            </w:pPr>
          </w:p>
        </w:tc>
        <w:tc>
          <w:tcPr/>
          <w:p>
            <w:pPr>
              <w:pStyle w:val="Compact"/>
              <w:jc w:val="left"/>
            </w:pPr>
            <w:r>
              <w:t xml:space="preserve">Emissions/credits from disposal (incineration for non-recycled plastic, landfill for non-recycled metal) and recycling (for</w:t>
            </w:r>
          </w:p>
          <w:p>
            <w:pPr>
              <w:pStyle w:val="Compact"/>
              <w:jc w:val="left"/>
            </w:pPr>
            <w:r>
              <w:t xml:space="preserve">% of materials).</w:t>
            </w:r>
          </w:p>
        </w:tc>
      </w:tr>
      <w:tr>
        <w:tc>
          <w:tcPr/>
          <w:p>
            <w:pPr>
              <w:pStyle w:val="Compact"/>
              <w:jc w:val="left"/>
            </w:pPr>
            <w:r>
              <w:rPr>
                <w:bCs/>
                <w:b/>
              </w:rPr>
              <w:t xml:space="preserve">Total Product Carbon Footprint (PCF)</w:t>
            </w:r>
          </w:p>
        </w:tc>
        <w:tc>
          <w:tcPr/>
          <w:p>
            <w:pPr>
              <w:pStyle w:val="Compact"/>
              <w:jc w:val="left"/>
            </w:pPr>
            <w:r>
              <w:t xml:space="preserve">kg CO2e / functional unit</w:t>
            </w:r>
          </w:p>
        </w:tc>
        <w:tc>
          <w:tcPr/>
          <w:p>
            <w:pPr>
              <w:pStyle w:val="Compact"/>
            </w:pPr>
          </w:p>
        </w:tc>
      </w:tr>
    </w:tbl>
    <w:p>
      <w:pPr>
        <w:pStyle w:val="BodyText"/>
      </w:pPr>
      <w:r>
        <w:rPr>
          <w:bCs/>
          <w:b/>
        </w:rPr>
        <w:t xml:space="preserve">Note on assumed values:</w:t>
      </w:r>
      <w:r>
        <w:t xml:space="preserve"> </w:t>
      </w:r>
      <w:r>
        <w:t xml:space="preserve">Where specific data for "Select Mode," "Delivery Type," "ditwptvkxs," "srqjvhenpv," "mqisyoofnl," "uetvdxxseg," "vqwrqomkmt," and "zvutonmlxr" were provided as placeholders, numerical values have been assumed for calculation purposes, as explicitly noted in the table above and the text. Actual values for these parameters should be used for a precise calculation.</w:t>
      </w:r>
    </w:p>
    <w:p>
      <w:r>
        <w:pict>
          <v:rect style="width:0;height:1.5pt" o:hralign="center" o:hrstd="t" o:hr="t"/>
        </w:pict>
      </w:r>
    </w:p>
    <w:bookmarkEnd w:id="32"/>
    <w:bookmarkEnd w:id="33"/>
    <w:bookmarkStart w:id="37" w:name="review-reporting-step-5"/>
    <w:p>
      <w:pPr>
        <w:pStyle w:val="Heading1"/>
      </w:pPr>
      <w:r>
        <w:t xml:space="preserve">4. Review &amp; Reporting (Step 5)</w:t>
      </w:r>
    </w:p>
    <w:bookmarkStart w:id="34" w:name="hotspots-analysis"/>
    <w:p>
      <w:pPr>
        <w:pStyle w:val="Heading2"/>
      </w:pPr>
      <w:r>
        <w:t xml:space="preserve">4.1. Hotspots Analysis</w:t>
      </w:r>
    </w:p>
    <w:p>
      <w:pPr>
        <w:pStyle w:val="FirstParagraph"/>
      </w:pPr>
      <w:r>
        <w:t xml:space="preserve">Based on the calculations, the primary hotspots for the \'umlmzssldz\' product are:</w:t>
      </w:r>
    </w:p>
    <w:p>
      <w:pPr>
        <w:numPr>
          <w:ilvl w:val="0"/>
          <w:numId w:val="1012"/>
        </w:numPr>
        <w:pStyle w:val="Compact"/>
      </w:pPr>
      <w:r>
        <w:rPr>
          <w:bCs/>
          <w:b/>
        </w:rPr>
        <w:t xml:space="preserve">Materials Acquisition:</w:t>
      </w:r>
      <w:r>
        <w:t xml:space="preserve"> </w:t>
      </w:r>
      <w:r>
        <w:t xml:space="preserve">The initial carbon embodied in the raw materials, particularly plastics and metals, accounts for a significant portion of the upstream emissions.</w:t>
      </w:r>
    </w:p>
    <w:p>
      <w:pPr>
        <w:numPr>
          <w:ilvl w:val="0"/>
          <w:numId w:val="1012"/>
        </w:numPr>
        <w:pStyle w:val="Compact"/>
      </w:pPr>
      <w:r>
        <w:rPr>
          <w:bCs/>
          <w:b/>
        </w:rPr>
        <w:t xml:space="preserve">Use Phase:</w:t>
      </w:r>
      <w:r>
        <w:t xml:space="preserve"> </w:t>
      </w:r>
      <w:r>
        <w:t xml:space="preserve">The energy consumption during the product\'s lifespan is a major contributor, especially given the assumed average European grid mix. Improving energy efficiency of the product or promoting renewable energy adoption by end-users could substantially reduce this impact.</w:t>
      </w:r>
    </w:p>
    <w:p>
      <w:pPr>
        <w:numPr>
          <w:ilvl w:val="0"/>
          <w:numId w:val="1012"/>
        </w:numPr>
        <w:pStyle w:val="Compact"/>
      </w:pPr>
      <w:r>
        <w:rPr>
          <w:bCs/>
          <w:b/>
        </w:rPr>
        <w:t xml:space="preserve">Production Energy:</w:t>
      </w:r>
      <w:r>
        <w:t xml:space="preserve"> </w:t>
      </w:r>
      <w:r>
        <w:t xml:space="preserve">While renewable energy usage (</w:t>
      </w:r>
    </w:p>
    <w:p>
      <w:pPr>
        <w:numPr>
          <w:ilvl w:val="0"/>
          <w:numId w:val="1000"/>
        </w:numPr>
        <w:pStyle w:val="Compact"/>
      </w:pPr>
      <w:r>
        <w:t xml:space="preserve">%) helps, the remaining reliance on the Chinese grid mix still contributes notably to the overall footprint.</w:t>
      </w:r>
    </w:p>
    <w:bookmarkEnd w:id="34"/>
    <w:bookmarkStart w:id="35" w:name="data-reliability-and-limitations"/>
    <w:p>
      <w:pPr>
        <w:pStyle w:val="Heading2"/>
      </w:pPr>
      <w:r>
        <w:t xml:space="preserve">4.2. Data Reliability and Limitations</w:t>
      </w:r>
    </w:p>
    <w:p>
      <w:pPr>
        <w:pStyle w:val="FirstParagraph"/>
      </w:pPr>
      <w:r>
        <w:t xml:space="preserve">The reliability of this PCF analysis is dependent on the accuracy and completeness of the input data. Key considerations include:</w:t>
      </w:r>
    </w:p>
    <w:p>
      <w:pPr>
        <w:numPr>
          <w:ilvl w:val="0"/>
          <w:numId w:val="1013"/>
        </w:numPr>
        <w:pStyle w:val="Compact"/>
      </w:pPr>
      <w:r>
        <w:rPr>
          <w:bCs/>
          <w:b/>
        </w:rPr>
        <w:t xml:space="preserve">Primary vs. Secondary Data:</w:t>
      </w:r>
      <w:r>
        <w:t xml:space="preserve"> </w:t>
      </w:r>
      <w:r>
        <w:t xml:space="preserve">The BOM (tmkfzmmr) provides specific \'Total Carbon\' values, enhancing accuracy for material impact. However, some emission factors for transport, grid electricity, and end-of-life scenarios are based on industry-average secondary data (e.g., Ecoinvent/DEFRA), which may not perfectly reflect mfgsxzfxim\'s specific supply chain or regional nuances.</w:t>
      </w:r>
    </w:p>
    <w:p>
      <w:pPr>
        <w:numPr>
          <w:ilvl w:val="0"/>
          <w:numId w:val="1013"/>
        </w:numPr>
        <w:pStyle w:val="Compact"/>
      </w:pPr>
      <w:r>
        <w:rPr>
          <w:bCs/>
          <w:b/>
        </w:rPr>
        <w:t xml:space="preserve">Assumptions for Placeholders:</w:t>
      </w:r>
      <w:r>
        <w:t xml:space="preserve"> </w:t>
      </w:r>
      <w:r>
        <w:t xml:space="preserve">As noted, several parameters were provided as generic strings (e.g., "Select Mode", "Delivery Type", "ditwptvkxs"). Reasonable, industry-standard numerical assumptions were made for these. Using primary data for these parameters will increase the precision of the analysis.</w:t>
      </w:r>
    </w:p>
    <w:p>
      <w:pPr>
        <w:numPr>
          <w:ilvl w:val="0"/>
          <w:numId w:val="1013"/>
        </w:numPr>
        <w:pStyle w:val="Compact"/>
      </w:pPr>
      <w:r>
        <w:rPr>
          <w:bCs/>
          <w:b/>
        </w:rPr>
        <w:t xml:space="preserve">Land Sector and Removals (LSR) Standard:</w:t>
      </w:r>
      <w:r>
        <w:t xml:space="preserve"> </w:t>
      </w:r>
      <w:r>
        <w:t xml:space="preserve">While the report acknowledges the 2026 LSR Standard, the absence of specific land-use data within the provided parameters means direct quantification of land-related emissions or removals was not possible in this iteration. Future assessments should aim to incorporate such data.</w:t>
      </w:r>
    </w:p>
    <w:p>
      <w:pPr>
        <w:numPr>
          <w:ilvl w:val="0"/>
          <w:numId w:val="1013"/>
        </w:numPr>
        <w:pStyle w:val="Compact"/>
      </w:pPr>
      <w:r>
        <w:rPr>
          <w:bCs/>
          <w:b/>
        </w:rPr>
        <w:t xml:space="preserve">Scope 3 Coverage:</w:t>
      </w:r>
      <w:r>
        <w:t xml:space="preserve"> </w:t>
      </w:r>
      <w:r>
        <w:t xml:space="preserve">While the report aims for 95% Scope 3 coverage, the comprehensiveness is limited by the availability of specific data points for all 15 Scope 3 categories. The current analysis focuses on categories directly supported by the provided parameters (Purchased Goods and Services, Transportation, Use of Sold Products, End-of-Life Treatment).</w:t>
      </w:r>
    </w:p>
    <w:bookmarkEnd w:id="35"/>
    <w:bookmarkStart w:id="36" w:name="recommendations-for-emission-reduction"/>
    <w:p>
      <w:pPr>
        <w:pStyle w:val="Heading2"/>
      </w:pPr>
      <w:r>
        <w:t xml:space="preserve">4.3. Recommendations for Emission Reduction</w:t>
      </w:r>
    </w:p>
    <w:p>
      <w:pPr>
        <w:numPr>
          <w:ilvl w:val="0"/>
          <w:numId w:val="1014"/>
        </w:numPr>
        <w:pStyle w:val="Compact"/>
      </w:pPr>
      <w:r>
        <w:rPr>
          <w:bCs/>
          <w:b/>
        </w:rPr>
        <w:t xml:space="preserve">Material Optimization:</w:t>
      </w:r>
      <w:r>
        <w:t xml:space="preserve"> </w:t>
      </w:r>
      <w:r>
        <w:t xml:space="preserve">Explore options for lower-carbon materials, increased recycled content (beyond current recyclability), and design for durability and repairability to reduce initial material footprint.</w:t>
      </w:r>
    </w:p>
    <w:p>
      <w:pPr>
        <w:numPr>
          <w:ilvl w:val="0"/>
          <w:numId w:val="1014"/>
        </w:numPr>
        <w:pStyle w:val="Compact"/>
      </w:pPr>
      <w:r>
        <w:rPr>
          <w:bCs/>
          <w:b/>
        </w:rPr>
        <w:t xml:space="preserve">Renewable Energy Transition:</w:t>
      </w:r>
      <w:r>
        <w:t xml:space="preserve"> </w:t>
      </w:r>
      <w:r>
        <w:t xml:space="preserve">Increase the percentage of renewable energy used in production facilities (srqjvhenpv) to further reduce Scope 2 emissions. Encourage suppliers to adopt similar practices.</w:t>
      </w:r>
    </w:p>
    <w:p>
      <w:pPr>
        <w:numPr>
          <w:ilvl w:val="0"/>
          <w:numId w:val="1014"/>
        </w:numPr>
        <w:pStyle w:val="Compact"/>
      </w:pPr>
      <w:r>
        <w:rPr>
          <w:bCs/>
          <w:b/>
        </w:rPr>
        <w:t xml:space="preserve">Logistics Efficiency:</w:t>
      </w:r>
      <w:r>
        <w:t xml:space="preserve"> </w:t>
      </w:r>
      <w:r>
        <w:t xml:space="preserve">Optimize transport routes, consolidate shipments, and explore lower-emission transport modes (e.g., rail, sea freight where feasible) to reduce Scope 3 transport emissions.</w:t>
      </w:r>
    </w:p>
    <w:p>
      <w:pPr>
        <w:numPr>
          <w:ilvl w:val="0"/>
          <w:numId w:val="1014"/>
        </w:numPr>
        <w:pStyle w:val="Compact"/>
      </w:pPr>
      <w:r>
        <w:rPr>
          <w:bCs/>
          <w:b/>
        </w:rPr>
        <w:t xml:space="preserve">Product Energy Efficiency:</w:t>
      </w:r>
      <w:r>
        <w:t xml:space="preserve"> </w:t>
      </w:r>
      <w:r>
        <w:t xml:space="preserve">Improve the energy efficiency of \'umlmzssldz\' during its use phase to minimize operational emissions for end-users. Educate consumers on responsible energy use.</w:t>
      </w:r>
    </w:p>
    <w:p>
      <w:pPr>
        <w:numPr>
          <w:ilvl w:val="0"/>
          <w:numId w:val="1014"/>
        </w:numPr>
        <w:pStyle w:val="Compact"/>
      </w:pPr>
      <w:r>
        <w:rPr>
          <w:bCs/>
          <w:b/>
        </w:rPr>
        <w:t xml:space="preserve">Enhance Circularity:</w:t>
      </w:r>
      <w:r>
        <w:t xml:space="preserve"> </w:t>
      </w:r>
      <w:r>
        <w:t xml:space="preserve">Leverage and expand circular/take-back programs (oyppkvzqwd) to maximize material recovery and recycling rates (zvutonmlxr), thus minimizing end-of-life burdens and maximizing avoided emissions from virgin material production.</w:t>
      </w:r>
    </w:p>
    <w:p>
      <w:r>
        <w:pict>
          <v:rect style="width:0;height:1.5pt" o:hralign="center" o:hrstd="t" o:hr="t"/>
        </w:pict>
      </w:r>
    </w:p>
    <w:p>
      <w:pPr>
        <w:pStyle w:val="FirstParagraph"/>
      </w:pPr>
      <w:r>
        <w:t xml:space="preserve">Confidential - Internal Use Only |</w:t>
      </w:r>
      <w:r>
        <w:t xml:space="preserve"> </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umlmzssldz</dc:title>
  <dc:creator/>
  <dc:description>Detailed Product Carbon Footprint (PCF) analysis report for umlmzssldz, adhering to GHG Protocol standards and 2026 requirements, prepared by Senior Sustainability Consultant fnmkvqfidk for mfgsxzfxim.</dc:description>
  <dc:language>en</dc:language>
  <cp:keywords/>
  <dcterms:created xsi:type="dcterms:W3CDTF">2026-05-30T21:04:23Z</dcterms:created>
  <dcterms:modified xsi:type="dcterms:W3CDTF">2026-05-30T21:04:23Z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