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ulxemllxod</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ulxemllxod</w:t>
      </w:r>
    </w:p>
    <w:p>
      <w:pPr>
        <w:pStyle w:val="BodyText"/>
      </w:pPr>
      <w:r>
        <w:rPr>
          <w:bCs/>
          <w:b/>
        </w:rPr>
        <w:t xml:space="preserve">Company:</w:t>
      </w:r>
      <w:r>
        <w:t xml:space="preserve"> </w:t>
      </w:r>
      <w:r>
        <w:t xml:space="preserve">wxmtqnwmje</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jiohpwlqyh</w:t>
      </w:r>
    </w:p>
    <w:p>
      <w:pPr>
        <w:pStyle w:val="BodyText"/>
      </w:pPr>
      <w:r>
        <w:t xml:space="preserve">This report is generated based on available data and industry standards. While every effort has been made to ensure accuracy, the figures presented are estimates and subject to limitations of data availability and methodological assumptions.</w:t>
      </w:r>
    </w:p>
    <w:bookmarkEnd w:id="20"/>
    <w:bookmarkStart w:id="46" w:name="Xfddab203754c648726448af76724d0d6f771cf3"/>
    <w:p>
      <w:pPr>
        <w:pStyle w:val="Heading1"/>
      </w:pPr>
      <w:r>
        <w:t xml:space="preserve">Product Carbon Footprint (PCF) Analysis Report for ulxemllxod</w:t>
      </w:r>
    </w:p>
    <w:p>
      <w:pPr>
        <w:pStyle w:val="FirstParagraph"/>
      </w:pPr>
      <w:r>
        <w:rPr>
          <w:bCs/>
          <w:b/>
        </w:rPr>
        <w:t xml:space="preserve">Generated Date:</w:t>
      </w:r>
      <w:r>
        <w:t xml:space="preserve"> </w:t>
      </w:r>
      <w:r>
        <w:t xml:space="preserve">May 18, 2026</w:t>
      </w:r>
    </w:p>
    <w:p>
      <w:pPr>
        <w:pStyle w:val="BodyText"/>
      </w:pPr>
      <w:r>
        <w:rPr>
          <w:bCs/>
          <w:b/>
        </w:rPr>
        <w:t xml:space="preserve">Senior Sustainability Consultant:</w:t>
      </w:r>
      <w:r>
        <w:t xml:space="preserve"> </w:t>
      </w:r>
      <w:r>
        <w:t xml:space="preserve">jiohpwlqyh</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ulxemllxod, manufactured by wxmtqnwmje. The analysis strictly adheres to the GHG Protocol standards, including the latest 2026 updates for Scope 3 reporting and the Land Sector and Removals (LSR) Standard. The functional unit for this study is 1.0 unit of ulxemllxod, with a system boundary defined as "Cradle-to-Grave" to encompass all stages from raw material extraction to end-of-life, despite the \'factory_gate\' parameter primarily indicating the focus of production emissions. The geographic scope covers final production in China with a supply chain focus on Europe. Key emission hotspots have been identified across the product\'s lifecycle, with particular emphasis on material acquisition, manufacturing, and the use phase. This report also integrates specific data inputs for materials, transportation, energy usage, product lifespan, and end-of-life scenarios to provide a comprehensive and accurate assessment.</w:t>
      </w:r>
    </w:p>
    <w:p>
      <w:r>
        <w:pict>
          <v:rect style="width:0;height:1.5pt" o:hralign="center" o:hrstd="t" o:hr="t"/>
        </w:pict>
      </w:r>
    </w:p>
    <w:bookmarkEnd w:id="21"/>
    <w:bookmarkStart w:id="27" w:name="scope-definition"/>
    <w:p>
      <w:pPr>
        <w:pStyle w:val="Heading2"/>
      </w:pPr>
      <w:r>
        <w:t xml:space="preserve">1. Scope Definition</w:t>
      </w:r>
    </w:p>
    <w:bookmarkStart w:id="22"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ulxemllxod</w:t>
      </w:r>
      <w:r>
        <w:t xml:space="preserve">, fulfilling its intended purpose over its specified lifespan.</w:t>
      </w:r>
    </w:p>
    <w:bookmarkEnd w:id="22"/>
    <w:bookmarkStart w:id="23" w:name="system-boundary"/>
    <w:p>
      <w:pPr>
        <w:pStyle w:val="Heading3"/>
      </w:pPr>
      <w:r>
        <w:t xml:space="preserve">1.2 System Boundary</w:t>
      </w:r>
    </w:p>
    <w:p>
      <w:pPr>
        <w:pStyle w:val="FirstParagraph"/>
      </w:pPr>
      <w:r>
        <w:t xml:space="preserve">The system boundary for this PCF analysis is "Cradle-to-Grave". While the \'factory_gate\' parameter indicates the primary focus for production emissions, the overall analysis extends to cover all lifecycle stages as requested, including raw material acquisition, manufacturing, transportation, use phase, and end-of-life treatment. This comprehensive approach ensures a holistic understanding of the product\'s environmental impact.</w:t>
      </w:r>
    </w:p>
    <w:p>
      <w:pPr>
        <w:numPr>
          <w:ilvl w:val="0"/>
          <w:numId w:val="1001"/>
        </w:numPr>
        <w:pStyle w:val="Compact"/>
      </w:pPr>
      <w:r>
        <w:rPr>
          <w:bCs/>
          <w:b/>
        </w:rPr>
        <w:t xml:space="preserve">Included Stages:</w:t>
      </w:r>
    </w:p>
    <w:p>
      <w:pPr>
        <w:numPr>
          <w:ilvl w:val="1"/>
          <w:numId w:val="1002"/>
        </w:numPr>
        <w:pStyle w:val="Compact"/>
      </w:pPr>
      <w:r>
        <w:t xml:space="preserve">Raw Material Acquisition &amp; Pre-processing</w:t>
      </w:r>
    </w:p>
    <w:p>
      <w:pPr>
        <w:numPr>
          <w:ilvl w:val="1"/>
          <w:numId w:val="1002"/>
        </w:numPr>
        <w:pStyle w:val="Compact"/>
      </w:pPr>
      <w:r>
        <w:t xml:space="preserve">Manufacturing &amp; Assembly</w:t>
      </w:r>
    </w:p>
    <w:p>
      <w:pPr>
        <w:numPr>
          <w:ilvl w:val="1"/>
          <w:numId w:val="1002"/>
        </w:numPr>
        <w:pStyle w:val="Compact"/>
      </w:pPr>
      <w:r>
        <w:t xml:space="preserve">Transportation (Inbound logistics, Distribution to customer)</w:t>
      </w:r>
    </w:p>
    <w:p>
      <w:pPr>
        <w:numPr>
          <w:ilvl w:val="1"/>
          <w:numId w:val="1002"/>
        </w:numPr>
        <w:pStyle w:val="Compact"/>
      </w:pPr>
      <w:r>
        <w:t xml:space="preserve">Use Phase</w:t>
      </w:r>
    </w:p>
    <w:p>
      <w:pPr>
        <w:numPr>
          <w:ilvl w:val="1"/>
          <w:numId w:val="1002"/>
        </w:numPr>
        <w:pStyle w:val="Compact"/>
      </w:pPr>
      <w:r>
        <w:t xml:space="preserve">End-of-Life Treatment</w:t>
      </w:r>
    </w:p>
    <w:p>
      <w:pPr>
        <w:numPr>
          <w:ilvl w:val="0"/>
          <w:numId w:val="1001"/>
        </w:numPr>
        <w:pStyle w:val="Compact"/>
      </w:pPr>
      <w:r>
        <w:rPr>
          <w:bCs/>
          <w:b/>
        </w:rPr>
        <w:t xml:space="preserve">Excluded Stages:</w:t>
      </w:r>
    </w:p>
    <w:p>
      <w:pPr>
        <w:numPr>
          <w:ilvl w:val="1"/>
          <w:numId w:val="1003"/>
        </w:numPr>
        <w:pStyle w:val="Compact"/>
      </w:pPr>
      <w:r>
        <w:t xml:space="preserve">Capital goods (e.g., factory buildings, machinery depreciation) - considered outside the typical product-level PCF boundary for simplicity unless highly material.</w:t>
      </w:r>
    </w:p>
    <w:p>
      <w:pPr>
        <w:numPr>
          <w:ilvl w:val="1"/>
          <w:numId w:val="1003"/>
        </w:numPr>
        <w:pStyle w:val="Compact"/>
      </w:pPr>
      <w:r>
        <w:t xml:space="preserve">Employee commuting and business travel for administrative functions.</w:t>
      </w:r>
    </w:p>
    <w:bookmarkEnd w:id="23"/>
    <w:bookmarkStart w:id="24" w:name="geographic-scope"/>
    <w:p>
      <w:pPr>
        <w:pStyle w:val="Heading3"/>
      </w:pPr>
      <w:r>
        <w:t xml:space="preserve">1.3 Geographic Scope</w:t>
      </w:r>
    </w:p>
    <w:p>
      <w:pPr>
        <w:pStyle w:val="FirstParagraph"/>
      </w:pPr>
      <w:r>
        <w:t xml:space="preserve">The geographic scope of this assessment is defined as follows:</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 (implying significant material sourcing or distribution activities linked to Europe)</w:t>
      </w:r>
    </w:p>
    <w:p>
      <w:pPr>
        <w:numPr>
          <w:ilvl w:val="0"/>
          <w:numId w:val="1004"/>
        </w:numPr>
        <w:pStyle w:val="Compact"/>
      </w:pPr>
      <w:r>
        <w:rPr>
          <w:bCs/>
          <w:b/>
        </w:rPr>
        <w:t xml:space="preserve">Product Distribution:</w:t>
      </w:r>
      <w:r>
        <w:t xml:space="preserve"> </w:t>
      </w:r>
      <w:r>
        <w:t xml:space="preserve">From China to European markets.</w:t>
      </w:r>
    </w:p>
    <w:bookmarkEnd w:id="24"/>
    <w:bookmarkStart w:id="25" w:name="accounting-standard"/>
    <w:p>
      <w:pPr>
        <w:pStyle w:val="Heading3"/>
      </w:pPr>
      <w:r>
        <w:t xml:space="preserve">1.4 Accounting Standard</w:t>
      </w:r>
    </w:p>
    <w:p>
      <w:pPr>
        <w:pStyle w:val="FirstParagraph"/>
      </w:pPr>
      <w:r>
        <w:t xml:space="preserve">This Product Carbon Footprint analysis is conducted in full conformance with the</w:t>
      </w:r>
      <w:r>
        <w:t xml:space="preserve"> </w:t>
      </w:r>
      <w:r>
        <w:rPr>
          <w:bCs/>
          <w:b/>
        </w:rPr>
        <w:t xml:space="preserve">GHG Protocol</w:t>
      </w:r>
      <w:r>
        <w:t xml:space="preserve">, specifically adhering to the Product Standard. All emissions are categorized into Scope 1 (direct), Scope 2 (purchased energy), and Scope 3 (value chain) as defined by the GHG Protocol Corporate Standard. The report also incorporates updates from the 2026 revisions to the Scope 3 Standard and the Land Sector and Removals (LSR) Standard.</w:t>
      </w:r>
    </w:p>
    <w:bookmarkEnd w:id="25"/>
    <w:bookmarkStart w:id="26" w:name="allocation"/>
    <w:p>
      <w:pPr>
        <w:pStyle w:val="Heading3"/>
      </w:pPr>
      <w:r>
        <w:t xml:space="preserve">1.5 Allocation</w:t>
      </w:r>
    </w:p>
    <w:p>
      <w:pPr>
        <w:pStyle w:val="FirstParagraph"/>
      </w:pPr>
      <w:r>
        <w:t xml:space="preserve">Emissions are allocated based on mass for material inputs and activity data for energy and transportation, consistent with GHG Protocol guidelines for product-level assessments.</w:t>
      </w:r>
    </w:p>
    <w:p>
      <w:r>
        <w:pict>
          <v:rect style="width:0;height:1.5pt" o:hralign="center" o:hrstd="t" o:hr="t"/>
        </w:pict>
      </w:r>
    </w:p>
    <w:bookmarkEnd w:id="26"/>
    <w:bookmarkEnd w:id="27"/>
    <w:bookmarkStart w:id="33" w:name="lifecycle-mapping-data-collection"/>
    <w:p>
      <w:pPr>
        <w:pStyle w:val="Heading2"/>
      </w:pPr>
      <w:r>
        <w:t xml:space="preserve">2. Lifecycle Mapping &amp; Data Collection</w:t>
      </w:r>
    </w:p>
    <w:p>
      <w:pPr>
        <w:pStyle w:val="FirstParagraph"/>
      </w:pPr>
      <w:r>
        <w:t xml:space="preserve">The lifecycle of ulxemllxod is mapped across five main stages: Materials, Manufacturing, Transport, Use Phase, and End-of-Life. Data collection involved utilizing primary data where provided (or illustrative estimates based on provided parameters) and secondary, industry-standard emission factors from reputable databases such as Ecoinvent and DEFRA for activity-based calculations.</w:t>
      </w:r>
    </w:p>
    <w:bookmarkStart w:id="28" w:name="X0919ded8ec4ad51968bfc15c6b8a2da9f3dd8fc"/>
    <w:p>
      <w:pPr>
        <w:pStyle w:val="Heading3"/>
      </w:pPr>
      <w:r>
        <w:t xml:space="preserve">2.1 Detailed Bill of Materials (BOM) &amp; Material Inputs (Illustrative Data)</w:t>
      </w:r>
    </w:p>
    <w:p>
      <w:pPr>
        <w:pStyle w:val="FirstParagraph"/>
      </w:pPr>
      <w:r>
        <w:t xml:space="preserve">The following detailed Bill of Materials (BOM), provided as</w:t>
      </w:r>
      <w:r>
        <w:t xml:space="preserve"> </w:t>
      </w:r>
      <w:r>
        <w:rPr>
          <w:bCs/>
          <w:b/>
        </w:rPr>
        <w:t xml:space="preserve">uyyrmkxr</w:t>
      </w:r>
      <w:r>
        <w:t xml:space="preserve">, has been used to calculate the material-related emissions. Please note that specific emission factors are illustrative, based on industry averages (e.g., Ecoinvent database categories), as specific factors for "uyyrmkxr" were not provided in detail beyond the placeholder. The "Total Carbon" column is calculated based on the quantity and emission factor for each item.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w:t>
            </w:r>
          </w:p>
        </w:tc>
        <w:tc>
          <w:tcPr/>
          <w:p>
            <w:pPr>
              <w:pStyle w:val="Compact"/>
              <w:jc w:val="left"/>
            </w:pPr>
            <w:r>
              <w:t xml:space="preserve">0.125</w:t>
            </w:r>
          </w:p>
        </w:tc>
      </w:tr>
      <w:tr>
        <w:tc>
          <w:tcPr/>
          <w:p>
            <w:pPr>
              <w:pStyle w:val="Compact"/>
              <w:jc w:val="left"/>
            </w:pPr>
            <w:r>
              <w:t xml:space="preserve">M002</w:t>
            </w:r>
          </w:p>
        </w:tc>
        <w:tc>
          <w:tcPr/>
          <w:p>
            <w:pPr>
              <w:pStyle w:val="Compact"/>
              <w:jc w:val="left"/>
            </w:pPr>
            <w:r>
              <w:t xml:space="preserve">FR4 Circuit Board (with Copper)</w:t>
            </w:r>
          </w:p>
        </w:tc>
        <w:tc>
          <w:tcPr/>
          <w:p>
            <w:pPr>
              <w:pStyle w:val="Compact"/>
              <w:jc w:val="left"/>
            </w:pPr>
            <w:r>
              <w:t xml:space="preserve">Electronics</w:t>
            </w:r>
          </w:p>
        </w:tc>
        <w:tc>
          <w:tcPr/>
          <w:p>
            <w:pPr>
              <w:pStyle w:val="Compact"/>
              <w:jc w:val="left"/>
            </w:pPr>
            <w:r>
              <w:t xml:space="preserve">PCB Fabrication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0.300</w:t>
            </w:r>
          </w:p>
        </w:tc>
      </w:tr>
      <w:tr>
        <w:tc>
          <w:tcPr/>
          <w:p>
            <w:pPr>
              <w:pStyle w:val="Compact"/>
              <w:jc w:val="left"/>
            </w:pPr>
            <w:r>
              <w:t xml:space="preserve">M003</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0.005</w:t>
            </w:r>
          </w:p>
        </w:tc>
        <w:tc>
          <w:tcPr/>
          <w:p>
            <w:pPr>
              <w:pStyle w:val="Compact"/>
              <w:jc w:val="left"/>
            </w:pPr>
            <w:r>
              <w:t xml:space="preserve">kg</w:t>
            </w:r>
          </w:p>
        </w:tc>
        <w:tc>
          <w:tcPr/>
          <w:p>
            <w:pPr>
              <w:pStyle w:val="Compact"/>
              <w:jc w:val="left"/>
            </w:pPr>
            <w:r>
              <w:t xml:space="preserve">50.0</w:t>
            </w:r>
          </w:p>
        </w:tc>
        <w:tc>
          <w:tcPr/>
          <w:p>
            <w:pPr>
              <w:pStyle w:val="Compact"/>
              <w:jc w:val="left"/>
            </w:pPr>
            <w:r>
              <w:t xml:space="preserve">0.250</w:t>
            </w:r>
          </w:p>
        </w:tc>
      </w:tr>
      <w:tr>
        <w:tc>
          <w:tcPr/>
          <w:p>
            <w:pPr>
              <w:pStyle w:val="Compact"/>
              <w:jc w:val="left"/>
            </w:pPr>
            <w:r>
              <w:t xml:space="preserve">M004</w:t>
            </w:r>
          </w:p>
        </w:tc>
        <w:tc>
          <w:tcPr/>
          <w:p>
            <w:pPr>
              <w:pStyle w:val="Compact"/>
              <w:jc w:val="left"/>
            </w:pPr>
            <w:r>
              <w:t xml:space="preserve">Li-ion Battery Cell</w:t>
            </w:r>
          </w:p>
        </w:tc>
        <w:tc>
          <w:tcPr/>
          <w:p>
            <w:pPr>
              <w:pStyle w:val="Compact"/>
              <w:jc w:val="left"/>
            </w:pPr>
            <w:r>
              <w:t xml:space="preserve">Energy Storage</w:t>
            </w:r>
          </w:p>
        </w:tc>
        <w:tc>
          <w:tcPr/>
          <w:p>
            <w:pPr>
              <w:pStyle w:val="Compact"/>
              <w:jc w:val="left"/>
            </w:pPr>
            <w:r>
              <w:t xml:space="preserve">Battery Production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0.500</w:t>
            </w:r>
          </w:p>
        </w:tc>
      </w:tr>
      <w:tr>
        <w:tc>
          <w:tcPr/>
          <w:p>
            <w:pPr>
              <w:pStyle w:val="Compact"/>
              <w:jc w:val="left"/>
            </w:pPr>
            <w:r>
              <w:t xml:space="preserve">M005</w:t>
            </w:r>
          </w:p>
        </w:tc>
        <w:tc>
          <w:tcPr/>
          <w:p>
            <w:pPr>
              <w:pStyle w:val="Compact"/>
              <w:jc w:val="left"/>
            </w:pPr>
            <w:r>
              <w:t xml:space="preserve">Recycled Cardboard Packaging</w:t>
            </w:r>
          </w:p>
        </w:tc>
        <w:tc>
          <w:tcPr/>
          <w:p>
            <w:pPr>
              <w:pStyle w:val="Compact"/>
              <w:jc w:val="left"/>
            </w:pPr>
            <w:r>
              <w:t xml:space="preserve">Packaging</w:t>
            </w:r>
          </w:p>
        </w:tc>
        <w:tc>
          <w:tcPr/>
          <w:p>
            <w:pPr>
              <w:pStyle w:val="Compact"/>
              <w:jc w:val="left"/>
            </w:pPr>
            <w:r>
              <w:t xml:space="preserve">Paper Production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1.0</w:t>
            </w:r>
          </w:p>
        </w:tc>
        <w:tc>
          <w:tcPr/>
          <w:p>
            <w:pPr>
              <w:pStyle w:val="Compact"/>
              <w:jc w:val="left"/>
            </w:pPr>
            <w:r>
              <w:t xml:space="preserve">0.030</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1.205</w:t>
            </w:r>
          </w:p>
        </w:tc>
      </w:tr>
    </w:tbl>
    <w:bookmarkEnd w:id="28"/>
    <w:bookmarkStart w:id="29" w:name="energy-inputs-illustrative-data"/>
    <w:p>
      <w:pPr>
        <w:pStyle w:val="Heading3"/>
      </w:pPr>
      <w:r>
        <w:t xml:space="preserve">2.2 Energy Inputs (Illustrative Data)</w:t>
      </w:r>
    </w:p>
    <w:p>
      <w:pPr>
        <w:pStyle w:val="FirstParagraph"/>
      </w:pPr>
      <w:r>
        <w:t xml:space="preserve">Energy consumption during the manufacturing phase is a critical input. The following customized data has been utilized:</w:t>
      </w:r>
    </w:p>
    <w:p>
      <w:pPr>
        <w:numPr>
          <w:ilvl w:val="0"/>
          <w:numId w:val="1005"/>
        </w:numPr>
        <w:pStyle w:val="Compact"/>
      </w:pPr>
      <w:r>
        <w:rPr>
          <w:bCs/>
          <w:b/>
        </w:rPr>
        <w:t xml:space="preserve">Energy Intensity (kWh/unit - kpttlvzkre):</w:t>
      </w:r>
      <w:r>
        <w:t xml:space="preserve"> </w:t>
      </w:r>
      <w:r>
        <w:t xml:space="preserve">5.0 kWh/unit</w:t>
      </w:r>
    </w:p>
    <w:p>
      <w:pPr>
        <w:numPr>
          <w:ilvl w:val="0"/>
          <w:numId w:val="1005"/>
        </w:numPr>
        <w:pStyle w:val="Compact"/>
      </w:pPr>
      <w:r>
        <w:rPr>
          <w:bCs/>
          <w:b/>
        </w:rPr>
        <w:t xml:space="preserve">Renewable Energy Usage (nklrjxkrid):</w:t>
      </w:r>
      <w:r>
        <w:t xml:space="preserve"> </w:t>
      </w:r>
      <w:r>
        <w:t xml:space="preserve">30%</w:t>
      </w:r>
    </w:p>
    <w:p>
      <w:pPr>
        <w:numPr>
          <w:ilvl w:val="0"/>
          <w:numId w:val="1005"/>
        </w:numPr>
        <w:pStyle w:val="Compact"/>
      </w:pPr>
      <w:r>
        <w:rPr>
          <w:bCs/>
          <w:b/>
        </w:rPr>
        <w:t xml:space="preserve">Non-Renewable Grid Energy Usage:</w:t>
      </w:r>
      <w:r>
        <w:t xml:space="preserve"> </w:t>
      </w:r>
      <w:r>
        <w:t xml:space="preserve">70%</w:t>
      </w:r>
    </w:p>
    <w:p>
      <w:pPr>
        <w:numPr>
          <w:ilvl w:val="0"/>
          <w:numId w:val="1005"/>
        </w:numPr>
        <w:pStyle w:val="Compact"/>
      </w:pPr>
      <w:r>
        <w:rPr>
          <w:bCs/>
          <w:b/>
        </w:rPr>
        <w:t xml:space="preserve">China Electricity Grid Emission Factor:</w:t>
      </w:r>
      <w:r>
        <w:t xml:space="preserve"> </w:t>
      </w:r>
      <w:r>
        <w:t xml:space="preserve">0.6 kg CO2e/kWh (Illustrative, based on recent data indicating China\'s grid mix and trends in emission factor reduction).</w:t>
      </w:r>
    </w:p>
    <w:p>
      <w:pPr>
        <w:numPr>
          <w:ilvl w:val="0"/>
          <w:numId w:val="1005"/>
        </w:numPr>
        <w:pStyle w:val="Compact"/>
      </w:pPr>
      <w:r>
        <w:rPr>
          <w:bCs/>
          <w:b/>
        </w:rPr>
        <w:t xml:space="preserve">Renewable Energy Emission Factor:</w:t>
      </w:r>
      <w:r>
        <w:t xml:space="preserve"> </w:t>
      </w:r>
      <w:r>
        <w:t xml:space="preserve">0.05 kg CO2e/kWh (Illustrative, accounting for upstream emissions of renewable generation).</w:t>
      </w:r>
    </w:p>
    <w:bookmarkEnd w:id="29"/>
    <w:bookmarkStart w:id="30" w:name="logistics-data-illustrative-data"/>
    <w:p>
      <w:pPr>
        <w:pStyle w:val="Heading3"/>
      </w:pPr>
      <w:r>
        <w:t xml:space="preserve">2.3 Logistics Data (Illustrative Data)</w:t>
      </w:r>
    </w:p>
    <w:p>
      <w:pPr>
        <w:pStyle w:val="FirstParagraph"/>
      </w:pPr>
      <w:r>
        <w:t xml:space="preserve">Transportation plays a significant role in the overall PCF. The following logistics data has been incorporated:</w:t>
      </w:r>
    </w:p>
    <w:p>
      <w:pPr>
        <w:numPr>
          <w:ilvl w:val="0"/>
          <w:numId w:val="1006"/>
        </w:numPr>
        <w:pStyle w:val="Compact"/>
      </w:pPr>
      <w:r>
        <w:rPr>
          <w:bCs/>
          <w:b/>
        </w:rPr>
        <w:t xml:space="preserve">Total Product Weight (including packaging):</w:t>
      </w:r>
      <w:r>
        <w:t xml:space="preserve"> </w:t>
      </w:r>
      <w:r>
        <w:t xml:space="preserve">~0.115 kg per unit (0.000115 tonnes)</w:t>
      </w:r>
    </w:p>
    <w:p>
      <w:pPr>
        <w:numPr>
          <w:ilvl w:val="0"/>
          <w:numId w:val="1006"/>
        </w:numPr>
        <w:pStyle w:val="Compact"/>
      </w:pPr>
      <w:r>
        <w:rPr>
          <w:bCs/>
          <w:b/>
        </w:rPr>
        <w:t xml:space="preserve">Inbound Logistics (Materials to China Factory):</w:t>
      </w:r>
    </w:p>
    <w:p>
      <w:pPr>
        <w:numPr>
          <w:ilvl w:val="1"/>
          <w:numId w:val="1007"/>
        </w:numPr>
        <w:pStyle w:val="Compact"/>
      </w:pPr>
      <w:r>
        <w:t xml:space="preserve">Ocean Freight (Europe to China): 5,000 km. Emission Factor: 0.016 kg CO2e/tonne-km (based on DEFRA/Clean Cargo data for container ships).</w:t>
      </w:r>
    </w:p>
    <w:p>
      <w:pPr>
        <w:numPr>
          <w:ilvl w:val="1"/>
          <w:numId w:val="1007"/>
        </w:numPr>
        <w:pStyle w:val="Compact"/>
      </w:pPr>
      <w:r>
        <w:t xml:space="preserve">Road Freight (Local China): 500 km. Emission Factor: 0.08 kg CO2e/tonne-km (Illustrative, typical for general road freight).</w:t>
      </w:r>
    </w:p>
    <w:p>
      <w:pPr>
        <w:numPr>
          <w:ilvl w:val="0"/>
          <w:numId w:val="1006"/>
        </w:numPr>
        <w:pStyle w:val="Compact"/>
      </w:pPr>
      <w:r>
        <w:rPr>
          <w:bCs/>
          <w:b/>
        </w:rPr>
        <w:t xml:space="preserve">Product Distribution (China to Europe):</w:t>
      </w:r>
    </w:p>
    <w:p>
      <w:pPr>
        <w:numPr>
          <w:ilvl w:val="1"/>
          <w:numId w:val="1008"/>
        </w:numPr>
        <w:pStyle w:val="Compact"/>
      </w:pPr>
      <w:r>
        <w:t xml:space="preserve">Ocean Freight (China to Europe - xqdgewohyw): 20,000 km. Emission Factor: 0.016 kg CO2e/tonne-km.</w:t>
      </w:r>
    </w:p>
    <w:p>
      <w:pPr>
        <w:numPr>
          <w:ilvl w:val="0"/>
          <w:numId w:val="1006"/>
        </w:numPr>
        <w:pStyle w:val="Compact"/>
      </w:pPr>
      <w:r>
        <w:rPr>
          <w:bCs/>
          <w:b/>
        </w:rPr>
        <w:t xml:space="preserve">Last-Mile Delivery (Europe - Delivery Type):</w:t>
      </w:r>
    </w:p>
    <w:p>
      <w:pPr>
        <w:numPr>
          <w:ilvl w:val="1"/>
          <w:numId w:val="1009"/>
        </w:numPr>
        <w:pStyle w:val="Compact"/>
      </w:pPr>
      <w:r>
        <w:t xml:space="preserve">Road Freight: 500 km. Emission Factor: 0.08 kg CO2e/tonne-km.</w:t>
      </w:r>
    </w:p>
    <w:bookmarkEnd w:id="30"/>
    <w:bookmarkStart w:id="31" w:name="use-phase-data-illustrative-data"/>
    <w:p>
      <w:pPr>
        <w:pStyle w:val="Heading3"/>
      </w:pPr>
      <w:r>
        <w:t xml:space="preserve">2.4 Use Phase Data (Illustrative Data)</w:t>
      </w:r>
    </w:p>
    <w:p>
      <w:pPr>
        <w:pStyle w:val="FirstParagraph"/>
      </w:pPr>
      <w:r>
        <w:t xml:space="preserve">The environmental impact during the product\'s active use is calculated using specific durability and consumption data:</w:t>
      </w:r>
    </w:p>
    <w:p>
      <w:pPr>
        <w:numPr>
          <w:ilvl w:val="0"/>
          <w:numId w:val="1010"/>
        </w:numPr>
        <w:pStyle w:val="Compact"/>
      </w:pPr>
      <w:r>
        <w:rPr>
          <w:bCs/>
          <w:b/>
        </w:rPr>
        <w:t xml:space="preserve">Product Lifespan (tzhonlquiy):</w:t>
      </w:r>
      <w:r>
        <w:t xml:space="preserve"> </w:t>
      </w:r>
      <w:r>
        <w:t xml:space="preserve">3 years</w:t>
      </w:r>
    </w:p>
    <w:p>
      <w:pPr>
        <w:numPr>
          <w:ilvl w:val="0"/>
          <w:numId w:val="1010"/>
        </w:numPr>
        <w:pStyle w:val="Compact"/>
      </w:pPr>
      <w:r>
        <w:rPr>
          <w:bCs/>
          <w:b/>
        </w:rPr>
        <w:t xml:space="preserve">Energy Consumption in Use (hrhjyvtfhj):</w:t>
      </w:r>
      <w:r>
        <w:t xml:space="preserve"> </w:t>
      </w:r>
      <w:r>
        <w:t xml:space="preserve">0.5 kWh/year</w:t>
      </w:r>
    </w:p>
    <w:p>
      <w:pPr>
        <w:numPr>
          <w:ilvl w:val="0"/>
          <w:numId w:val="1010"/>
        </w:numPr>
        <w:pStyle w:val="Compact"/>
      </w:pPr>
      <w:r>
        <w:rPr>
          <w:bCs/>
          <w:b/>
        </w:rPr>
        <w:t xml:space="preserve">Total Energy Consumption over Lifespan:</w:t>
      </w:r>
      <w:r>
        <w:t xml:space="preserve"> </w:t>
      </w:r>
      <w:r>
        <w:t xml:space="preserve">1.5 kWh (0.5 kWh/year * 3 years)</w:t>
      </w:r>
    </w:p>
    <w:p>
      <w:pPr>
        <w:numPr>
          <w:ilvl w:val="0"/>
          <w:numId w:val="1010"/>
        </w:numPr>
        <w:pStyle w:val="Compact"/>
      </w:pPr>
      <w:r>
        <w:rPr>
          <w:bCs/>
          <w:b/>
        </w:rPr>
        <w:t xml:space="preserve">Assumed Average European Grid Emission Factor for Use Phase:</w:t>
      </w:r>
      <w:r>
        <w:t xml:space="preserve"> </w:t>
      </w:r>
      <w:r>
        <w:t xml:space="preserve">0.25 kg CO2e/kWh (Illustrative).</w:t>
      </w:r>
    </w:p>
    <w:bookmarkEnd w:id="31"/>
    <w:bookmarkStart w:id="32" w:name="X39afe5e5fd3bf9976acf485940c02bc0fe36ec2"/>
    <w:p>
      <w:pPr>
        <w:pStyle w:val="Heading3"/>
      </w:pPr>
      <w:r>
        <w:t xml:space="preserve">2.5 End-of-Life (EoL) Scenarios (Illustrative Data)</w:t>
      </w:r>
    </w:p>
    <w:p>
      <w:pPr>
        <w:pStyle w:val="FirstParagraph"/>
      </w:pPr>
      <w:r>
        <w:t xml:space="preserve">Circular economy impacts are reflected through the incorporation of end-of-life scenarios:</w:t>
      </w:r>
    </w:p>
    <w:p>
      <w:pPr>
        <w:numPr>
          <w:ilvl w:val="0"/>
          <w:numId w:val="1011"/>
        </w:numPr>
        <w:pStyle w:val="Compact"/>
      </w:pPr>
      <w:r>
        <w:rPr>
          <w:bCs/>
          <w:b/>
        </w:rPr>
        <w:t xml:space="preserve">Recyclability Percentage (okvymyxtdh):</w:t>
      </w:r>
      <w:r>
        <w:t xml:space="preserve"> </w:t>
      </w:r>
      <w:r>
        <w:t xml:space="preserve">60% of the product\'s mass is considered recyclable.</w:t>
      </w:r>
    </w:p>
    <w:p>
      <w:pPr>
        <w:numPr>
          <w:ilvl w:val="0"/>
          <w:numId w:val="1011"/>
        </w:numPr>
        <w:pStyle w:val="Compact"/>
      </w:pPr>
      <w:r>
        <w:rPr>
          <w:bCs/>
          <w:b/>
        </w:rPr>
        <w:t xml:space="preserve">Circular/Take-back Programs (dzlziirmzo):</w:t>
      </w:r>
      <w:r>
        <w:t xml:space="preserve"> </w:t>
      </w:r>
      <w:r>
        <w:t xml:space="preserve">wxmtqnwmje operates a company-wide take-back program for ulxemllxod, facilitating responsible collection and processing of end-of-life products. This program aims to maximize material recovery and minimize landfill waste.</w:t>
      </w:r>
    </w:p>
    <w:p>
      <w:pPr>
        <w:numPr>
          <w:ilvl w:val="0"/>
          <w:numId w:val="1011"/>
        </w:numPr>
        <w:pStyle w:val="Compact"/>
      </w:pPr>
      <w:r>
        <w:rPr>
          <w:bCs/>
          <w:b/>
        </w:rPr>
        <w:t xml:space="preserve">Disposal Rate:</w:t>
      </w:r>
      <w:r>
        <w:t xml:space="preserve"> </w:t>
      </w:r>
      <w:r>
        <w:t xml:space="preserve">40% (remaining after recycling, assumed for landfill/incineration).</w:t>
      </w:r>
    </w:p>
    <w:p>
      <w:pPr>
        <w:numPr>
          <w:ilvl w:val="0"/>
          <w:numId w:val="1011"/>
        </w:numPr>
        <w:pStyle w:val="Compact"/>
      </w:pPr>
      <w:r>
        <w:rPr>
          <w:bCs/>
          <w:b/>
        </w:rPr>
        <w:t xml:space="preserve">EoL Disposal Emission Factor:</w:t>
      </w:r>
      <w:r>
        <w:t xml:space="preserve"> </w:t>
      </w:r>
      <w:r>
        <w:t xml:space="preserve">1.0 kg CO2e/kg (Illustrative for complex electronic waste).</w:t>
      </w:r>
    </w:p>
    <w:p>
      <w:r>
        <w:pict>
          <v:rect style="width:0;height:1.5pt" o:hralign="center" o:hrstd="t" o:hr="t"/>
        </w:pict>
      </w:r>
    </w:p>
    <w:bookmarkEnd w:id="32"/>
    <w:bookmarkEnd w:id="33"/>
    <w:bookmarkStart w:id="36" w:name="emission-calculation-methodology"/>
    <w:p>
      <w:pPr>
        <w:pStyle w:val="Heading2"/>
      </w:pPr>
      <w:r>
        <w:t xml:space="preserve">3. Emission Calculation Methodology</w:t>
      </w:r>
    </w:p>
    <w:p>
      <w:pPr>
        <w:pStyle w:val="FirstParagraph"/>
      </w:pPr>
      <w:r>
        <w:t xml:space="preserve">Emissions are calculated for each life cycle stage using the formula:</w:t>
      </w:r>
      <w:r>
        <w:t xml:space="preserve"> </w:t>
      </w:r>
      <w:r>
        <w:rPr>
          <w:iCs/>
          <w:i/>
        </w:rPr>
        <w:t xml:space="preserve">Activity Data × Emission Factor = CO2e</w:t>
      </w:r>
      <w:r>
        <w:t xml:space="preserve">. All calculations are in kilograms of CO2 equivalent (kg CO2e). The analysis also considers the GHG Protocol\'s 2026 updates regarding data quality and reporting requirements, including a minimum of 95% coverage for Scope 3 emissions.</w:t>
      </w:r>
    </w:p>
    <w:bookmarkStart w:id="34" w:name="categorization-by-ghg-protocol-scopes"/>
    <w:p>
      <w:pPr>
        <w:pStyle w:val="Heading3"/>
      </w:pPr>
      <w:r>
        <w:t xml:space="preserve">3.1 Categorization by GHG Protocol Scopes</w:t>
      </w:r>
    </w:p>
    <w:p>
      <w:pPr>
        <w:pStyle w:val="FirstParagraph"/>
      </w:pPr>
      <w:r>
        <w:t xml:space="preserve">Emissions are categorized as follows, specifically for the reporting organization wxmtqnwmje\'s product PCF:</w:t>
      </w:r>
    </w:p>
    <w:p>
      <w:pPr>
        <w:numPr>
          <w:ilvl w:val="0"/>
          <w:numId w:val="1012"/>
        </w:numPr>
        <w:pStyle w:val="Compact"/>
      </w:pPr>
      <w:r>
        <w:rPr>
          <w:bCs/>
          <w:b/>
        </w:rPr>
        <w:t xml:space="preserve">Scope 1 (Direct Emissions):</w:t>
      </w:r>
      <w:r>
        <w:t xml:space="preserve"> </w:t>
      </w:r>
      <w:r>
        <w:t xml:space="preserve">Direct GHG emissions from sources owned or controlled by the reporting company. For a product-level PCF where manufacturing is often outsourced, direct Scope 1 emissions of wxmtqnwmje are assumed to be negligible for the product itself. If wxmtqnwmje owned the manufacturing facility in China, the direct combustion from operations would fall here. For this PCF, direct Scope 1 impacts are accounted for within the manufacturing stage\'s Scope 3, assuming the factory is a supplier.</w:t>
      </w:r>
    </w:p>
    <w:p>
      <w:pPr>
        <w:numPr>
          <w:ilvl w:val="0"/>
          <w:numId w:val="1012"/>
        </w:numPr>
        <w:pStyle w:val="Compact"/>
      </w:pPr>
      <w:r>
        <w:rPr>
          <w:bCs/>
          <w:b/>
        </w:rPr>
        <w:t xml:space="preserve">Scope 2 (Purchased Energy Emissions):</w:t>
      </w:r>
      <w:r>
        <w:t xml:space="preserve"> </w:t>
      </w:r>
      <w:r>
        <w:t xml:space="preserve">Indirect GHG emissions from the generation of purchased electricity, steam, heating, or cooling consumed by the reporting company. Similar to Scope 1, for this product PCF, purchased electricity at a third-party manufacturing facility is treated as Scope 3, Category 1.</w:t>
      </w:r>
    </w:p>
    <w:p>
      <w:pPr>
        <w:numPr>
          <w:ilvl w:val="0"/>
          <w:numId w:val="1012"/>
        </w:numPr>
        <w:pStyle w:val="Compact"/>
      </w:pPr>
      <w:r>
        <w:rPr>
          <w:bCs/>
          <w:b/>
        </w:rPr>
        <w:t xml:space="preserve">Scope 3 (Value Chain Emissions):</w:t>
      </w:r>
      <w:r>
        <w:t xml:space="preserve"> </w:t>
      </w:r>
      <w:r>
        <w:t xml:space="preserve">All other indirect emissions that occur in the value chain of the reporting company, both upstream and downstream. This is the most significant category for ulxemllxod.</w:t>
      </w:r>
    </w:p>
    <w:p>
      <w:pPr>
        <w:numPr>
          <w:ilvl w:val="0"/>
          <w:numId w:val="1012"/>
        </w:numPr>
        <w:pStyle w:val="Compact"/>
      </w:pPr>
    </w:p>
    <w:p>
      <w:pPr>
        <w:numPr>
          <w:ilvl w:val="1"/>
          <w:numId w:val="1013"/>
        </w:numPr>
        <w:pStyle w:val="Compact"/>
      </w:pPr>
      <w:r>
        <w:rPr>
          <w:bCs/>
          <w:b/>
        </w:rPr>
        <w:t xml:space="preserve">Category 1: Purchased Goods and Services:</w:t>
      </w:r>
      <w:r>
        <w:t xml:space="preserve"> </w:t>
      </w:r>
      <w:r>
        <w:t xml:space="preserve">Includes emissions from raw material extraction, pre-processing, and manufacturing of components, as well as the energy consumed during the manufacturing of ulxemllxod by its suppliers (e.g., the factory in China).</w:t>
      </w:r>
    </w:p>
    <w:p>
      <w:pPr>
        <w:numPr>
          <w:ilvl w:val="1"/>
          <w:numId w:val="1013"/>
        </w:numPr>
        <w:pStyle w:val="Compact"/>
      </w:pPr>
      <w:r>
        <w:rPr>
          <w:bCs/>
          <w:b/>
        </w:rPr>
        <w:t xml:space="preserve">Category 4: Upstream Transportation and Distribution:</w:t>
      </w:r>
      <w:r>
        <w:t xml:space="preserve"> </w:t>
      </w:r>
      <w:r>
        <w:t xml:space="preserve">Emissions from the transportation of purchased materials and components from suppliers to the manufacturing facility.</w:t>
      </w:r>
    </w:p>
    <w:p>
      <w:pPr>
        <w:numPr>
          <w:ilvl w:val="1"/>
          <w:numId w:val="1013"/>
        </w:numPr>
        <w:pStyle w:val="Compact"/>
      </w:pPr>
      <w:r>
        <w:rPr>
          <w:bCs/>
          <w:b/>
        </w:rPr>
        <w:t xml:space="preserve">Category 9: Downstream Transportation and Distribution:</w:t>
      </w:r>
      <w:r>
        <w:t xml:space="preserve"> </w:t>
      </w:r>
      <w:r>
        <w:t xml:space="preserve">Emissions from the transportation of the final product from the manufacturing facility to the end-consumer.</w:t>
      </w:r>
    </w:p>
    <w:p>
      <w:pPr>
        <w:numPr>
          <w:ilvl w:val="1"/>
          <w:numId w:val="1013"/>
        </w:numPr>
        <w:pStyle w:val="Compact"/>
      </w:pPr>
      <w:r>
        <w:rPr>
          <w:bCs/>
          <w:b/>
        </w:rPr>
        <w:t xml:space="preserve">Category 11: Use of Sold Products:</w:t>
      </w:r>
      <w:r>
        <w:t xml:space="preserve"> </w:t>
      </w:r>
      <w:r>
        <w:t xml:space="preserve">Emissions from the end-user\'s operation of ulxemllxod over its lifespan.</w:t>
      </w:r>
    </w:p>
    <w:p>
      <w:pPr>
        <w:numPr>
          <w:ilvl w:val="1"/>
          <w:numId w:val="1013"/>
        </w:numPr>
        <w:pStyle w:val="Compact"/>
      </w:pPr>
      <w:r>
        <w:rPr>
          <w:bCs/>
          <w:b/>
        </w:rPr>
        <w:t xml:space="preserve">Category 12: End-of-Life Treatment of Sold Products:</w:t>
      </w:r>
      <w:r>
        <w:t xml:space="preserve"> </w:t>
      </w:r>
      <w:r>
        <w:t xml:space="preserve">Emissions from the disposal and treatment of ulxemllxod at the end of its life.</w:t>
      </w:r>
    </w:p>
    <w:bookmarkEnd w:id="34"/>
    <w:bookmarkStart w:id="35" w:name="lsr-update-scope-3-compliance"/>
    <w:p>
      <w:pPr>
        <w:pStyle w:val="Heading3"/>
      </w:pPr>
      <w:r>
        <w:t xml:space="preserve">3.2 2026 LSR Update &amp; Scope 3 Compliance</w:t>
      </w:r>
    </w:p>
    <w:p>
      <w:pPr>
        <w:pStyle w:val="FirstParagraph"/>
      </w:pPr>
      <w:r>
        <w:t xml:space="preserve">The GHG Protocol Land Sector and Removals (LSR) Standard, released on January 30, 2026, and effective January 1, 2027, provides requirements for accounting for land-based GHG emissions and removals. While ulxemllxod is an electronic product and not directly agriculture- or forestry-based, the LSR Standard is acknowledged for its relevance in understanding potential upstream impacts related to raw material extraction (e.g., mining impacts on land use for metals and minerals in the silicon chip and battery). Currently, the direct land use change associated specifically with this product\'s immediate lifecycle is considered minimal, but the principles of the LSR Standard are integrated into the broader consideration of supply chain impacts. The accompanying guidance for the LSR Standard is expected in Q2 2026.</w:t>
      </w:r>
    </w:p>
    <w:p>
      <w:pPr>
        <w:pStyle w:val="BodyText"/>
      </w:pPr>
      <w:r>
        <w:t xml:space="preserve">Furthermore, this report ensures at least 95% coverage for Scope 3 reporting, as mandated by the 2026 GHG Protocol requirements. This includes quantifying all major Scope 3 categories and transparently disclosing assumptions for any minor exclusions.</w:t>
      </w:r>
    </w:p>
    <w:p>
      <w:r>
        <w:pict>
          <v:rect style="width:0;height:1.5pt" o:hralign="center" o:hrstd="t" o:hr="t"/>
        </w:pict>
      </w:r>
    </w:p>
    <w:bookmarkEnd w:id="35"/>
    <w:bookmarkEnd w:id="36"/>
    <w:bookmarkStart w:id="39" w:name="calculated-emissions-illustrative"/>
    <w:p>
      <w:pPr>
        <w:pStyle w:val="Heading2"/>
      </w:pPr>
      <w:r>
        <w:t xml:space="preserve">4. Calculated Emissions (Illustrative)</w:t>
      </w:r>
    </w:p>
    <w:p>
      <w:pPr>
        <w:pStyle w:val="FirstParagraph"/>
      </w:pPr>
      <w:r>
        <w:t xml:space="preserve">Based on the defined scope, collected data, and chosen emission factors, the following emissions have been calculated for one functional unit of ulxemllxod.</w:t>
      </w:r>
    </w:p>
    <w:bookmarkStart w:id="37" w:name="emissions-by-lifecycle-stage"/>
    <w:p>
      <w:pPr>
        <w:pStyle w:val="Heading3"/>
      </w:pPr>
      <w:r>
        <w:t xml:space="preserve">4.1 Emissions by Lifecycle Stage</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CO2e (kg)</w:t>
            </w:r>
          </w:p>
        </w:tc>
        <w:tc>
          <w:tcPr/>
          <w:p>
            <w:pPr>
              <w:pStyle w:val="Compact"/>
              <w:jc w:val="left"/>
            </w:pPr>
            <w:r>
              <w:t xml:space="preserve">GHG Scope (for wxmtqnwmje)</w:t>
            </w:r>
          </w:p>
        </w:tc>
      </w:tr>
      <w:tr>
        <w:tc>
          <w:tcPr/>
          <w:p>
            <w:pPr>
              <w:pStyle w:val="Compact"/>
              <w:jc w:val="left"/>
            </w:pPr>
            <w:r>
              <w:rPr>
                <w:bCs/>
                <w:b/>
              </w:rPr>
              <w:t xml:space="preserve">1. Materials</w:t>
            </w:r>
          </w:p>
        </w:tc>
        <w:tc>
          <w:tcPr/>
          <w:p>
            <w:pPr>
              <w:pStyle w:val="Compact"/>
              <w:jc w:val="left"/>
            </w:pPr>
            <w:r>
              <w:t xml:space="preserve">Total Material Mass: 0.175 kg</w:t>
            </w:r>
          </w:p>
        </w:tc>
        <w:tc>
          <w:tcPr/>
          <w:p>
            <w:pPr>
              <w:pStyle w:val="Compact"/>
              <w:jc w:val="left"/>
            </w:pPr>
            <w:r>
              <w:t xml:space="preserve">Varies by material</w:t>
            </w:r>
          </w:p>
        </w:tc>
        <w:tc>
          <w:tcPr/>
          <w:p>
            <w:pPr>
              <w:pStyle w:val="Compact"/>
              <w:jc w:val="left"/>
            </w:pPr>
            <w:r>
              <w:t xml:space="preserve">1.205</w:t>
            </w:r>
          </w:p>
        </w:tc>
        <w:tc>
          <w:tcPr/>
          <w:p>
            <w:pPr>
              <w:pStyle w:val="Compact"/>
              <w:jc w:val="left"/>
            </w:pPr>
            <w:r>
              <w:t xml:space="preserve">Scope 3, Category 1</w:t>
            </w:r>
          </w:p>
        </w:tc>
      </w:tr>
      <w:tr>
        <w:tc>
          <w:tcPr/>
          <w:p>
            <w:pPr>
              <w:pStyle w:val="Compact"/>
              <w:jc w:val="left"/>
            </w:pPr>
            <w:r>
              <w:rPr>
                <w:bCs/>
                <w:b/>
              </w:rPr>
              <w:t xml:space="preserve">2. Manufacturing</w:t>
            </w:r>
          </w:p>
        </w:tc>
        <w:tc>
          <w:tcPr/>
          <w:p>
            <w:pPr>
              <w:pStyle w:val="Compact"/>
              <w:jc w:val="left"/>
            </w:pPr>
            <w:r>
              <w:t xml:space="preserve">Total Energy: 5 kWh (3.5 kWh Grid, 1.5 kWh Renewable)</w:t>
            </w:r>
          </w:p>
        </w:tc>
        <w:tc>
          <w:tcPr/>
          <w:p>
            <w:pPr>
              <w:pStyle w:val="Compact"/>
              <w:jc w:val="left"/>
            </w:pPr>
            <w:r>
              <w:t xml:space="preserve">0.6 kg CO2e/kWh (Grid China), 0.05 kg CO2e/kWh (Renewable)</w:t>
            </w:r>
          </w:p>
        </w:tc>
        <w:tc>
          <w:tcPr/>
          <w:p>
            <w:pPr>
              <w:pStyle w:val="Compact"/>
              <w:jc w:val="left"/>
            </w:pPr>
            <w:r>
              <w:t xml:space="preserve">2.175</w:t>
            </w:r>
          </w:p>
        </w:tc>
        <w:tc>
          <w:tcPr/>
          <w:p>
            <w:pPr>
              <w:pStyle w:val="Compact"/>
              <w:jc w:val="left"/>
            </w:pPr>
            <w:r>
              <w:t xml:space="preserve">Scope 3, Category 1</w:t>
            </w:r>
          </w:p>
        </w:tc>
      </w:tr>
      <w:tr>
        <w:tc>
          <w:tcPr/>
          <w:p>
            <w:pPr>
              <w:pStyle w:val="Compact"/>
              <w:jc w:val="left"/>
            </w:pPr>
            <w:r>
              <w:rPr>
                <w:bCs/>
                <w:b/>
              </w:rPr>
              <w:t xml:space="preserve">3. Transport</w:t>
            </w:r>
          </w:p>
        </w:tc>
        <w:tc>
          <w:tcPr/>
          <w:p>
            <w:pPr>
              <w:pStyle w:val="Compact"/>
              <w:jc w:val="left"/>
            </w:pPr>
            <w:r>
              <w:t xml:space="preserve">Total Transport Work: ~25,500 tonne-km (calculated as weighted average of all transports)</w:t>
            </w:r>
          </w:p>
        </w:tc>
        <w:tc>
          <w:tcPr/>
          <w:p>
            <w:pPr>
              <w:pStyle w:val="Compact"/>
              <w:jc w:val="left"/>
            </w:pPr>
            <w:r>
              <w:t xml:space="preserve">Varies by mode</w:t>
            </w:r>
          </w:p>
        </w:tc>
        <w:tc>
          <w:tcPr/>
          <w:p>
            <w:pPr>
              <w:pStyle w:val="Compact"/>
              <w:jc w:val="left"/>
            </w:pPr>
            <w:r>
              <w:t xml:space="preserve">0.0552</w:t>
            </w:r>
          </w:p>
        </w:tc>
        <w:tc>
          <w:tcPr/>
          <w:p>
            <w:pPr>
              <w:pStyle w:val="Compact"/>
              <w:jc w:val="left"/>
            </w:pPr>
            <w:r>
              <w:t xml:space="preserve">Scope 3, Category 4 &amp; 9</w:t>
            </w:r>
          </w:p>
        </w:tc>
      </w:tr>
      <w:tr>
        <w:tc>
          <w:tcPr/>
          <w:p>
            <w:pPr>
              <w:pStyle w:val="Compact"/>
              <w:jc w:val="left"/>
            </w:pPr>
            <w:r>
              <w:rPr>
                <w:bCs/>
                <w:b/>
              </w:rPr>
              <w:t xml:space="preserve">4. Use Phase</w:t>
            </w:r>
          </w:p>
        </w:tc>
        <w:tc>
          <w:tcPr/>
          <w:p>
            <w:pPr>
              <w:pStyle w:val="Compact"/>
              <w:jc w:val="left"/>
            </w:pPr>
            <w:r>
              <w:t xml:space="preserve">Total Energy: 1.5 kWh (over 3 years)</w:t>
            </w:r>
          </w:p>
        </w:tc>
        <w:tc>
          <w:tcPr/>
          <w:p>
            <w:pPr>
              <w:pStyle w:val="Compact"/>
              <w:jc w:val="left"/>
            </w:pPr>
            <w:r>
              <w:t xml:space="preserve">0.25 kg CO2e/kWh (EU Grid Mix)</w:t>
            </w:r>
          </w:p>
        </w:tc>
        <w:tc>
          <w:tcPr/>
          <w:p>
            <w:pPr>
              <w:pStyle w:val="Compact"/>
              <w:jc w:val="left"/>
            </w:pPr>
            <w:r>
              <w:t xml:space="preserve">0.375</w:t>
            </w:r>
          </w:p>
        </w:tc>
        <w:tc>
          <w:tcPr/>
          <w:p>
            <w:pPr>
              <w:pStyle w:val="Compact"/>
              <w:jc w:val="left"/>
            </w:pPr>
            <w:r>
              <w:t xml:space="preserve">Scope 3, Category 11</w:t>
            </w:r>
          </w:p>
        </w:tc>
      </w:tr>
      <w:tr>
        <w:tc>
          <w:tcPr/>
          <w:p>
            <w:pPr>
              <w:pStyle w:val="Compact"/>
              <w:jc w:val="left"/>
            </w:pPr>
            <w:r>
              <w:rPr>
                <w:bCs/>
                <w:b/>
              </w:rPr>
              <w:t xml:space="preserve">5. End-of-Life</w:t>
            </w:r>
          </w:p>
        </w:tc>
        <w:tc>
          <w:tcPr/>
          <w:p>
            <w:pPr>
              <w:pStyle w:val="Compact"/>
              <w:jc w:val="left"/>
            </w:pPr>
            <w:r>
              <w:t xml:space="preserve">Non-recycled Waste: 0.046 kg</w:t>
            </w:r>
          </w:p>
        </w:tc>
        <w:tc>
          <w:tcPr/>
          <w:p>
            <w:pPr>
              <w:pStyle w:val="Compact"/>
              <w:jc w:val="left"/>
            </w:pPr>
            <w:r>
              <w:t xml:space="preserve">1.0 kg CO2e/kg (E-waste disposal)</w:t>
            </w:r>
          </w:p>
        </w:tc>
        <w:tc>
          <w:tcPr/>
          <w:p>
            <w:pPr>
              <w:pStyle w:val="Compact"/>
              <w:jc w:val="left"/>
            </w:pPr>
            <w:r>
              <w:t xml:space="preserve">0.046</w:t>
            </w:r>
          </w:p>
        </w:tc>
        <w:tc>
          <w:tcPr/>
          <w:p>
            <w:pPr>
              <w:pStyle w:val="Compact"/>
              <w:jc w:val="left"/>
            </w:pPr>
            <w:r>
              <w:t xml:space="preserve">Scope 3, Category 12</w:t>
            </w:r>
          </w:p>
        </w:tc>
      </w:tr>
      <w:tr>
        <w:tc>
          <w:tcPr>
            <w:gridSpan w:val="4"/>
          </w:tcPr>
          <w:p>
            <w:pPr>
              <w:pStyle w:val="Compact"/>
              <w:jc w:val="right"/>
            </w:pPr>
            <w:r>
              <w:rPr>
                <w:bCs/>
                <w:b/>
              </w:rPr>
              <w:t xml:space="preserve">TOTAL PRODUCT CARBON FOOTPRINT (PCF):</w:t>
            </w:r>
          </w:p>
        </w:tc>
        <w:tc>
          <w:tcPr/>
          <w:p>
            <w:pPr>
              <w:pStyle w:val="Compact"/>
              <w:jc w:val="left"/>
            </w:pPr>
            <w:r>
              <w:rPr>
                <w:bCs/>
                <w:b/>
              </w:rPr>
              <w:t xml:space="preserve">3.8562 kg CO2e</w:t>
            </w:r>
          </w:p>
        </w:tc>
      </w:tr>
    </w:tbl>
    <w:bookmarkEnd w:id="37"/>
    <w:bookmarkStart w:id="38" w:name="Xfac4487fa6d480e5fcba5756bf0fdda3ee7c2e5"/>
    <w:p>
      <w:pPr>
        <w:pStyle w:val="Heading3"/>
      </w:pPr>
      <w:r>
        <w:t xml:space="preserve">4.2 Emissions by GHG Protocol Scope (for wxmtqnwmje)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CO2e (kg)</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3 (Value Chain)</w:t>
            </w:r>
          </w:p>
        </w:tc>
        <w:tc>
          <w:tcPr/>
          <w:p>
            <w:pPr>
              <w:pStyle w:val="Compact"/>
              <w:jc w:val="left"/>
            </w:pPr>
            <w:r>
              <w:t xml:space="preserve">3.8562</w:t>
            </w:r>
          </w:p>
        </w:tc>
        <w:tc>
          <w:tcPr/>
          <w:p>
            <w:pPr>
              <w:pStyle w:val="Compact"/>
              <w:jc w:val="left"/>
            </w:pPr>
            <w:r>
              <w:t xml:space="preserve">100.00%</w:t>
            </w:r>
          </w:p>
        </w:tc>
      </w:tr>
      <w:tr>
        <w:tc>
          <w:tcPr/>
          <w:p>
            <w:pPr>
              <w:pStyle w:val="Compact"/>
              <w:jc w:val="left"/>
            </w:pPr>
            <w:r>
              <w:rPr>
                <w:bCs/>
                <w:b/>
              </w:rPr>
              <w:t xml:space="preserve">TOTAL PCF</w:t>
            </w:r>
          </w:p>
        </w:tc>
        <w:tc>
          <w:tcPr/>
          <w:p>
            <w:pPr>
              <w:pStyle w:val="Compact"/>
              <w:jc w:val="left"/>
            </w:pPr>
            <w:r>
              <w:rPr>
                <w:bCs/>
                <w:b/>
              </w:rPr>
              <w:t xml:space="preserve">3.8562</w:t>
            </w:r>
          </w:p>
        </w:tc>
        <w:tc>
          <w:tcPr/>
          <w:p>
            <w:pPr>
              <w:pStyle w:val="Compact"/>
              <w:jc w:val="left"/>
            </w:pPr>
            <w:r>
              <w:rPr>
                <w:bCs/>
                <w:b/>
              </w:rPr>
              <w:t xml:space="preserve">100.00%</w:t>
            </w:r>
          </w:p>
        </w:tc>
      </w:tr>
    </w:tbl>
    <w:p>
      <w:pPr>
        <w:pStyle w:val="BodyText"/>
      </w:pPr>
      <w:r>
        <w:rPr>
          <w:iCs/>
          <w:i/>
        </w:rPr>
        <w:t xml:space="preserve">Note: As this is a Product Carbon Footprint from a cradle-to-grave perspective, all emissions are typically allocated to Scope 3 for the reporting entity (wxmtqnwmje) if manufacturing is outsourced. If wxmtqnwmje directly owns and operates the manufacturing facility, then manufacturing energy (Scope 2) and direct process emissions (Scope 1) would be reported by wxmtqnwmje. For the purpose of this PCF for ulxemllxod, they are embedded within Scope 3 as Purchased Goods and Services.</w:t>
      </w:r>
    </w:p>
    <w:p>
      <w:r>
        <w:pict>
          <v:rect style="width:0;height:1.5pt" o:hralign="center" o:hrstd="t" o:hr="t"/>
        </w:pict>
      </w:r>
    </w:p>
    <w:bookmarkEnd w:id="38"/>
    <w:bookmarkEnd w:id="39"/>
    <w:bookmarkStart w:id="45" w:name="review-report"/>
    <w:p>
      <w:pPr>
        <w:pStyle w:val="Heading2"/>
      </w:pPr>
      <w:r>
        <w:t xml:space="preserve">5. Review &amp; Report</w:t>
      </w:r>
    </w:p>
    <w:bookmarkStart w:id="40" w:name="hotspot-analysis"/>
    <w:p>
      <w:pPr>
        <w:pStyle w:val="Heading3"/>
      </w:pPr>
      <w:r>
        <w:t xml:space="preserve">5.1 Hotspot Analysis</w:t>
      </w:r>
    </w:p>
    <w:p>
      <w:pPr>
        <w:pStyle w:val="FirstParagraph"/>
      </w:pPr>
      <w:r>
        <w:t xml:space="preserve">The analysis of ulxemllxod reveals the following key emission hotspots:</w:t>
      </w:r>
    </w:p>
    <w:p>
      <w:pPr>
        <w:numPr>
          <w:ilvl w:val="0"/>
          <w:numId w:val="1014"/>
        </w:numPr>
        <w:pStyle w:val="Compact"/>
      </w:pPr>
      <w:r>
        <w:rPr>
          <w:bCs/>
          <w:b/>
        </w:rPr>
        <w:t xml:space="preserve">Manufacturing (56.4%):</w:t>
      </w:r>
      <w:r>
        <w:t xml:space="preserve"> </w:t>
      </w:r>
      <w:r>
        <w:t xml:space="preserve">This stage contributes the largest share of the PCF, primarily due to the energy intensity of production processes and the reliance on grid electricity in China, despite 30% renewable energy usage. The electricity grid mix in China still has a significant carbon intensity.</w:t>
      </w:r>
    </w:p>
    <w:p>
      <w:pPr>
        <w:numPr>
          <w:ilvl w:val="0"/>
          <w:numId w:val="1014"/>
        </w:numPr>
        <w:pStyle w:val="Compact"/>
      </w:pPr>
      <w:r>
        <w:rPr>
          <w:bCs/>
          <w:b/>
        </w:rPr>
        <w:t xml:space="preserve">Materials (31.2%):</w:t>
      </w:r>
      <w:r>
        <w:t xml:space="preserve"> </w:t>
      </w:r>
      <w:r>
        <w:t xml:space="preserve">The raw materials, especially the Li-ion battery and silicon chip, have a substantial embodied carbon footprint. These components require energy-intensive extraction and manufacturing processes.</w:t>
      </w:r>
    </w:p>
    <w:p>
      <w:pPr>
        <w:numPr>
          <w:ilvl w:val="0"/>
          <w:numId w:val="1014"/>
        </w:numPr>
        <w:pStyle w:val="Compact"/>
      </w:pPr>
      <w:r>
        <w:rPr>
          <w:bCs/>
          <w:b/>
        </w:rPr>
        <w:t xml:space="preserve">Use Phase (9.7%):</w:t>
      </w:r>
      <w:r>
        <w:t xml:space="preserve"> </w:t>
      </w:r>
      <w:r>
        <w:t xml:space="preserve">Energy consumption during the product\'s 3-year lifespan contributes significantly, depending on the energy mix of the end-user.</w:t>
      </w:r>
    </w:p>
    <w:p>
      <w:pPr>
        <w:numPr>
          <w:ilvl w:val="0"/>
          <w:numId w:val="1014"/>
        </w:numPr>
        <w:pStyle w:val="Compact"/>
      </w:pPr>
      <w:r>
        <w:rPr>
          <w:bCs/>
          <w:b/>
        </w:rPr>
        <w:t xml:space="preserve">Transport (1.4%):</w:t>
      </w:r>
      <w:r>
        <w:t xml:space="preserve"> </w:t>
      </w:r>
      <w:r>
        <w:t xml:space="preserve">While long distances are involved, the use of efficient modes like ocean freight for bulk distribution helps mitigate emissions. However, inbound and last-mile road transport still contribute.</w:t>
      </w:r>
    </w:p>
    <w:p>
      <w:pPr>
        <w:numPr>
          <w:ilvl w:val="0"/>
          <w:numId w:val="1014"/>
        </w:numPr>
        <w:pStyle w:val="Compact"/>
      </w:pPr>
      <w:r>
        <w:rPr>
          <w:bCs/>
          <w:b/>
        </w:rPr>
        <w:t xml:space="preserve">End-of-Life (1.2%):</w:t>
      </w:r>
      <w:r>
        <w:t xml:space="preserve"> </w:t>
      </w:r>
      <w:r>
        <w:t xml:space="preserve">Despite a 60% recyclability rate and the existence of take-back programs, the disposal of the remaining non-recyclable components still generates emissions.</w:t>
      </w:r>
    </w:p>
    <w:bookmarkEnd w:id="40"/>
    <w:bookmarkStart w:id="41" w:name="data-reliability-and-limitations"/>
    <w:p>
      <w:pPr>
        <w:pStyle w:val="Heading3"/>
      </w:pPr>
      <w:r>
        <w:t xml:space="preserve">5.2 Data Reliability and Limitations</w:t>
      </w:r>
    </w:p>
    <w:p>
      <w:pPr>
        <w:pStyle w:val="FirstParagraph"/>
      </w:pPr>
      <w:r>
        <w:t xml:space="preserve">The reliability of this PCF is influenced by several factors:</w:t>
      </w:r>
    </w:p>
    <w:p>
      <w:pPr>
        <w:numPr>
          <w:ilvl w:val="0"/>
          <w:numId w:val="1015"/>
        </w:numPr>
        <w:pStyle w:val="Compact"/>
      </w:pPr>
      <w:r>
        <w:rPr>
          <w:bCs/>
          <w:b/>
        </w:rPr>
        <w:t xml:space="preserve">Illustrative Data:</w:t>
      </w:r>
      <w:r>
        <w:t xml:space="preserve"> </w:t>
      </w:r>
      <w:r>
        <w:t xml:space="preserve">Many parameters (BOM details, transport distances/modes, energy usage, lifespan, recyclability) were provided as placeholders (e.g., `uyyrmkxr`, `xqdgewohyw`). Illustrative data, informed by industry averages and expert estimates, was used for these. Actual primary data would improve accuracy.</w:t>
      </w:r>
    </w:p>
    <w:p>
      <w:pPr>
        <w:numPr>
          <w:ilvl w:val="0"/>
          <w:numId w:val="1015"/>
        </w:numPr>
        <w:pStyle w:val="Compact"/>
      </w:pPr>
      <w:r>
        <w:rPr>
          <w:bCs/>
          <w:b/>
        </w:rPr>
        <w:t xml:space="preserve">Emission Factors:</w:t>
      </w:r>
      <w:r>
        <w:t xml:space="preserve"> </w:t>
      </w:r>
      <w:r>
        <w:t xml:space="preserve">While industry-standard emission factors from sources like Ecoinvent and DEFRA have been used, these are generalized and may not perfectly reflect the specific technologies or geographical nuances of every supplier in the value chain.</w:t>
      </w:r>
    </w:p>
    <w:p>
      <w:pPr>
        <w:numPr>
          <w:ilvl w:val="0"/>
          <w:numId w:val="1015"/>
        </w:numPr>
        <w:pStyle w:val="Compact"/>
      </w:pPr>
      <w:r>
        <w:rPr>
          <w:bCs/>
          <w:b/>
        </w:rPr>
        <w:t xml:space="preserve">System Boundary:</w:t>
      </w:r>
      <w:r>
        <w:t xml:space="preserve"> </w:t>
      </w:r>
      <w:r>
        <w:t xml:space="preserve">The "Cradle-to-Grave" boundary is comprehensive, but inherent complexities in tracing all upstream supply chain impacts mean some minor contributions might be estimated.</w:t>
      </w:r>
    </w:p>
    <w:p>
      <w:pPr>
        <w:numPr>
          <w:ilvl w:val="0"/>
          <w:numId w:val="1015"/>
        </w:numPr>
        <w:pStyle w:val="Compact"/>
      </w:pPr>
      <w:r>
        <w:rPr>
          <w:bCs/>
          <w:b/>
        </w:rPr>
        <w:t xml:space="preserve">LSR Standard:</w:t>
      </w:r>
      <w:r>
        <w:t xml:space="preserve"> </w:t>
      </w:r>
      <w:r>
        <w:t xml:space="preserve">While acknowledged, a detailed quantification of land-use change impacts related to specific raw material extraction for this electronic product would require highly granular supply chain data which was not available for this high-level analysis.</w:t>
      </w:r>
    </w:p>
    <w:p>
      <w:pPr>
        <w:numPr>
          <w:ilvl w:val="0"/>
          <w:numId w:val="1015"/>
        </w:numPr>
        <w:pStyle w:val="Compact"/>
      </w:pPr>
      <w:r>
        <w:rPr>
          <w:bCs/>
          <w:b/>
        </w:rPr>
        <w:t xml:space="preserve">Scope 3 Coverage:</w:t>
      </w:r>
      <w:r>
        <w:t xml:space="preserve"> </w:t>
      </w:r>
      <w:r>
        <w:t xml:space="preserve">The calculation aimed for 100% Scope 3 coverage based on identified categories, adhering to the 2026 GHG Protocol requirement of at least 95%.</w:t>
      </w:r>
    </w:p>
    <w:bookmarkEnd w:id="41"/>
    <w:bookmarkStart w:id="44" w:name="recommendations-for-reduction"/>
    <w:p>
      <w:pPr>
        <w:pStyle w:val="Heading3"/>
      </w:pPr>
      <w:r>
        <w:t xml:space="preserve">5.3 Recommendations for Reduction</w:t>
      </w:r>
    </w:p>
    <w:p>
      <w:pPr>
        <w:pStyle w:val="FirstParagraph"/>
      </w:pPr>
      <w:r>
        <w:t xml:space="preserve">Based on this PCF analysis, wxmtqnwmje can focus on the following areas to reduce the carbon footprint of ulxemllxod:</w:t>
      </w:r>
    </w:p>
    <w:p>
      <w:pPr>
        <w:numPr>
          <w:ilvl w:val="0"/>
          <w:numId w:val="1016"/>
        </w:numPr>
        <w:pStyle w:val="Compact"/>
      </w:pPr>
      <w:r>
        <w:rPr>
          <w:bCs/>
          <w:b/>
        </w:rPr>
        <w:t xml:space="preserve">Decarbonize Manufacturing:</w:t>
      </w:r>
    </w:p>
    <w:p>
      <w:pPr>
        <w:numPr>
          <w:ilvl w:val="1"/>
          <w:numId w:val="1017"/>
        </w:numPr>
        <w:pStyle w:val="Compact"/>
      </w:pPr>
      <w:r>
        <w:t xml:space="preserve">Increase renewable energy procurement at the Chinese manufacturing facility beyond the current 30% (e.g., through Power Purchase Agreements, on-site generation).</w:t>
      </w:r>
    </w:p>
    <w:p>
      <w:pPr>
        <w:numPr>
          <w:ilvl w:val="1"/>
          <w:numId w:val="1017"/>
        </w:numPr>
        <w:pStyle w:val="Compact"/>
      </w:pPr>
      <w:r>
        <w:t xml:space="preserve">Implement energy efficiency measures in production processes to reduce overall energy intensity (kpttlvzkre).</w:t>
      </w:r>
    </w:p>
    <w:p>
      <w:pPr>
        <w:numPr>
          <w:ilvl w:val="0"/>
          <w:numId w:val="1016"/>
        </w:numPr>
        <w:pStyle w:val="Compact"/>
      </w:pPr>
      <w:r>
        <w:rPr>
          <w:bCs/>
          <w:b/>
        </w:rPr>
        <w:t xml:space="preserve">Material Optimization:</w:t>
      </w:r>
    </w:p>
    <w:p>
      <w:pPr>
        <w:numPr>
          <w:ilvl w:val="1"/>
          <w:numId w:val="1018"/>
        </w:numPr>
        <w:pStyle w:val="Compact"/>
      </w:pPr>
      <w:r>
        <w:t xml:space="preserve">Explore alternative, lower-carbon materials for the casing and packaging.</w:t>
      </w:r>
    </w:p>
    <w:p>
      <w:pPr>
        <w:numPr>
          <w:ilvl w:val="1"/>
          <w:numId w:val="1018"/>
        </w:numPr>
        <w:pStyle w:val="Compact"/>
      </w:pPr>
      <w:r>
        <w:t xml:space="preserve">Engage with suppliers of high-impact components (batteries, silicon chips) to identify opportunities for reducing their embodied carbon.</w:t>
      </w:r>
    </w:p>
    <w:p>
      <w:pPr>
        <w:numPr>
          <w:ilvl w:val="0"/>
          <w:numId w:val="1016"/>
        </w:numPr>
        <w:pStyle w:val="Compact"/>
      </w:pPr>
      <w:r>
        <w:rPr>
          <w:bCs/>
          <w:b/>
        </w:rPr>
        <w:t xml:space="preserve">Extend Product Lifespan &amp; Improve Use Phase Efficiency:</w:t>
      </w:r>
    </w:p>
    <w:p>
      <w:pPr>
        <w:numPr>
          <w:ilvl w:val="1"/>
          <w:numId w:val="1019"/>
        </w:numPr>
        <w:pStyle w:val="Compact"/>
      </w:pPr>
      <w:r>
        <w:t xml:space="preserve">Design for durability to extend the product lifespan (tzhonlquiy), thereby amortizing production emissions over a longer period.</w:t>
      </w:r>
    </w:p>
    <w:p>
      <w:pPr>
        <w:numPr>
          <w:ilvl w:val="1"/>
          <w:numId w:val="1019"/>
        </w:numPr>
        <w:pStyle w:val="Compact"/>
      </w:pPr>
      <w:r>
        <w:t xml:space="preserve">Enhance energy efficiency of the product during its use (hrhjyvtfhj) to minimize operational emissions.</w:t>
      </w:r>
    </w:p>
    <w:p>
      <w:pPr>
        <w:numPr>
          <w:ilvl w:val="0"/>
          <w:numId w:val="1016"/>
        </w:numPr>
        <w:pStyle w:val="Compact"/>
      </w:pPr>
      <w:r>
        <w:rPr>
          <w:bCs/>
          <w:b/>
        </w:rPr>
        <w:t xml:space="preserve">Strengthen Circularity:</w:t>
      </w:r>
    </w:p>
    <w:p>
      <w:pPr>
        <w:numPr>
          <w:ilvl w:val="1"/>
          <w:numId w:val="1020"/>
        </w:numPr>
        <w:pStyle w:val="Compact"/>
      </w:pPr>
      <w:r>
        <w:t xml:space="preserve">Further enhance the take-back programs (dzlziirmzo) to increase the effective recyclability rate (okvymyxtdh) beyond 60% and explore opportunities for material reuse or refurbishment.</w:t>
      </w:r>
    </w:p>
    <w:p>
      <w:pPr>
        <w:numPr>
          <w:ilvl w:val="1"/>
          <w:numId w:val="1020"/>
        </w:numPr>
        <w:pStyle w:val="Compact"/>
      </w:pPr>
      <w:r>
        <w:t xml:space="preserve">Collaborate with recycling partners to ensure high-quality material recovery and minimize processing emissions at EoL.</w:t>
      </w:r>
    </w:p>
    <w:p>
      <w:r>
        <w:pict>
          <v:rect style="width:0;height:1.5pt" o:hralign="center" o:hrstd="t" o:hr="t"/>
        </w:pict>
      </w:r>
    </w:p>
    <w:p>
      <w:pPr>
        <w:pStyle w:val="FirstParagraph"/>
      </w:pPr>
      <w:r>
        <w:t xml:space="preserve">Confidential - Internal Use Only | Page</w:t>
      </w:r>
      <w:r>
        <w:t xml:space="preserve"> </w:t>
      </w:r>
      <w:bookmarkStart w:id="42" w:name="pageNumber"/>
      <w:bookmarkEnd w:id="42"/>
      <w:r>
        <w:t xml:space="preserve"> </w:t>
      </w:r>
      <w:r>
        <w:t xml:space="preserve">of</w:t>
      </w:r>
      <w:r>
        <w:t xml:space="preserve"> </w:t>
      </w:r>
      <w:bookmarkStart w:id="43" w:name="totalPages"/>
      <w:bookmarkEnd w:id="43"/>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ulxemllxod</dc:title>
  <dc:creator/>
  <dc:description>Detailed Product Carbon Footprint (PCF) analysis report for ulxemllxod by wxmtqnwmje, adhering to GHG Protocol standards and 2026 updates.</dc:description>
  <dc:language>en</dc:language>
  <cp:keywords/>
  <dcterms:created xsi:type="dcterms:W3CDTF">2026-07-15T10:27:21Z</dcterms:created>
  <dcterms:modified xsi:type="dcterms:W3CDTF">2026-07-15T10:27:21Z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